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4630" w14:textId="4EFF4356" w:rsidR="00A03FD9" w:rsidRDefault="00A03FD9" w:rsidP="00A03FD9">
      <w:pPr>
        <w:pStyle w:val="Style2"/>
        <w:rPr>
          <w:lang w:val="en-US"/>
        </w:rPr>
      </w:pPr>
      <w:bookmarkStart w:id="0" w:name="_Toc139196829"/>
      <w:bookmarkStart w:id="1" w:name="_Toc145588466"/>
      <w:bookmarkStart w:id="2" w:name="_Toc159927795"/>
      <w:r w:rsidRPr="00DB61D2">
        <w:rPr>
          <w:lang w:val="en-US"/>
        </w:rPr>
        <w:t>My Active Life Project Findings</w:t>
      </w:r>
      <w:r>
        <w:rPr>
          <w:lang w:val="en-US"/>
        </w:rPr>
        <w:t xml:space="preserve"> - Political and</w:t>
      </w:r>
      <w:r w:rsidRPr="00DB61D2">
        <w:rPr>
          <w:lang w:val="en-US"/>
        </w:rPr>
        <w:t xml:space="preserve"> Media Talking Points</w:t>
      </w:r>
      <w:bookmarkEnd w:id="0"/>
      <w:bookmarkEnd w:id="1"/>
      <w:bookmarkEnd w:id="2"/>
    </w:p>
    <w:p w14:paraId="0D007C94" w14:textId="77777777" w:rsidR="00A03FD9" w:rsidRDefault="00A03FD9" w:rsidP="00A03FD9">
      <w:pPr>
        <w:spacing w:before="240" w:line="360" w:lineRule="auto"/>
        <w:jc w:val="both"/>
        <w:rPr>
          <w:sz w:val="24"/>
          <w:szCs w:val="24"/>
        </w:rPr>
      </w:pPr>
      <w:r w:rsidRPr="00AC0981">
        <w:rPr>
          <w:sz w:val="24"/>
          <w:szCs w:val="24"/>
        </w:rPr>
        <w:t xml:space="preserve">We have collated four key messages arising from this research that we think may be of interest to politicians, the media, or the </w:t>
      </w:r>
      <w:proofErr w:type="gramStart"/>
      <w:r w:rsidRPr="00AC0981">
        <w:rPr>
          <w:sz w:val="24"/>
          <w:szCs w:val="24"/>
        </w:rPr>
        <w:t>general public</w:t>
      </w:r>
      <w:proofErr w:type="gramEnd"/>
      <w:r w:rsidRPr="00AC0981">
        <w:rPr>
          <w:sz w:val="24"/>
          <w:szCs w:val="24"/>
        </w:rPr>
        <w:t>. They could be used as a starting point for press releases, offered as topics for interviews or news articles, or brought into consultation sessions with a local council member or Member for Parliament. They may also provide useful context to social commentary, reporting or policy development for issues such as inclusive sports or accessibility in urban planning.</w:t>
      </w:r>
    </w:p>
    <w:p w14:paraId="66B7E4C6" w14:textId="77777777" w:rsidR="00A03FD9" w:rsidRDefault="00A03FD9" w:rsidP="00A03FD9">
      <w:pPr>
        <w:pStyle w:val="Heading3"/>
        <w:spacing w:after="240"/>
      </w:pPr>
      <w:bookmarkStart w:id="3" w:name="_Toc139196830"/>
      <w:bookmarkStart w:id="4" w:name="_Toc145588467"/>
      <w:bookmarkStart w:id="5" w:name="_Toc159927796"/>
      <w:r w:rsidRPr="00AC0981">
        <w:t>Insight 1: Access to recreation and assistive technology is a protected human right.</w:t>
      </w:r>
      <w:bookmarkEnd w:id="3"/>
      <w:bookmarkEnd w:id="4"/>
      <w:bookmarkEnd w:id="5"/>
      <w:r w:rsidRPr="00AC0981">
        <w:t xml:space="preserve"> </w:t>
      </w:r>
    </w:p>
    <w:p w14:paraId="37D063CF" w14:textId="77777777" w:rsidR="00A03FD9" w:rsidRDefault="00A03FD9" w:rsidP="00A03FD9">
      <w:pPr>
        <w:spacing w:line="360" w:lineRule="auto"/>
        <w:jc w:val="both"/>
        <w:rPr>
          <w:sz w:val="24"/>
          <w:szCs w:val="24"/>
        </w:rPr>
      </w:pPr>
      <w:r w:rsidRPr="00AC0981">
        <w:rPr>
          <w:sz w:val="24"/>
          <w:szCs w:val="24"/>
        </w:rPr>
        <w:t xml:space="preserve">Access to recreation is a legally protected right in Australia under the Disability Discrimination Act (DDA). Access to assistive technology for mobility, including adapted bikes, is also protected under this act. For more information see: </w:t>
      </w:r>
      <w:hyperlink r:id="rId7" w:history="1">
        <w:r w:rsidRPr="00AC0981">
          <w:rPr>
            <w:rStyle w:val="Hyperlink"/>
            <w:sz w:val="24"/>
            <w:szCs w:val="24"/>
          </w:rPr>
          <w:t>DDA – Sport and Recreation</w:t>
        </w:r>
      </w:hyperlink>
      <w:r w:rsidRPr="00AC0981">
        <w:rPr>
          <w:sz w:val="24"/>
          <w:szCs w:val="24"/>
        </w:rPr>
        <w:t xml:space="preserve"> and </w:t>
      </w:r>
      <w:hyperlink r:id="rId8" w:history="1">
        <w:r w:rsidRPr="00AC0981">
          <w:rPr>
            <w:rStyle w:val="Hyperlink"/>
            <w:sz w:val="24"/>
            <w:szCs w:val="24"/>
          </w:rPr>
          <w:t>HumanRights.gov – Accessible Technology</w:t>
        </w:r>
      </w:hyperlink>
      <w:r w:rsidRPr="00AC0981">
        <w:rPr>
          <w:sz w:val="24"/>
          <w:szCs w:val="24"/>
        </w:rPr>
        <w:t xml:space="preserve">. </w:t>
      </w:r>
    </w:p>
    <w:p w14:paraId="5091DAE8" w14:textId="77777777" w:rsidR="00A03FD9" w:rsidRDefault="00A03FD9" w:rsidP="00A03FD9">
      <w:pPr>
        <w:pStyle w:val="Heading3"/>
        <w:spacing w:after="240"/>
      </w:pPr>
      <w:bookmarkStart w:id="6" w:name="_Toc139196831"/>
      <w:bookmarkStart w:id="7" w:name="_Toc145588468"/>
      <w:bookmarkStart w:id="8" w:name="_Toc159927797"/>
      <w:r w:rsidRPr="00AC0981">
        <w:t>Insight 2: Adapted cycling is an important means of recreational and social inclusion.</w:t>
      </w:r>
      <w:bookmarkEnd w:id="6"/>
      <w:bookmarkEnd w:id="7"/>
      <w:bookmarkEnd w:id="8"/>
      <w:r w:rsidRPr="00AC0981">
        <w:t xml:space="preserve"> </w:t>
      </w:r>
    </w:p>
    <w:p w14:paraId="0687E6E7" w14:textId="77777777" w:rsidR="00A03FD9" w:rsidRPr="00AC0981" w:rsidRDefault="00A03FD9" w:rsidP="00A03FD9">
      <w:pPr>
        <w:spacing w:line="360" w:lineRule="auto"/>
        <w:jc w:val="both"/>
        <w:rPr>
          <w:sz w:val="24"/>
          <w:szCs w:val="24"/>
        </w:rPr>
      </w:pPr>
      <w:r w:rsidRPr="00AC0981">
        <w:rPr>
          <w:sz w:val="24"/>
          <w:szCs w:val="24"/>
        </w:rPr>
        <w:t>Adaptive bikes offer a range of benefits for people with disability and their families (see report pages 15-17), including:</w:t>
      </w:r>
    </w:p>
    <w:p w14:paraId="26B1DF9F" w14:textId="77777777" w:rsidR="00A03FD9" w:rsidRPr="00AC0981" w:rsidRDefault="00A03FD9" w:rsidP="00A03FD9">
      <w:pPr>
        <w:pStyle w:val="ListParagraph"/>
        <w:numPr>
          <w:ilvl w:val="1"/>
          <w:numId w:val="2"/>
        </w:numPr>
        <w:spacing w:line="360" w:lineRule="auto"/>
        <w:jc w:val="both"/>
        <w:rPr>
          <w:sz w:val="24"/>
          <w:szCs w:val="24"/>
        </w:rPr>
      </w:pPr>
      <w:r w:rsidRPr="00AC0981">
        <w:rPr>
          <w:sz w:val="24"/>
          <w:szCs w:val="24"/>
        </w:rPr>
        <w:t xml:space="preserve">Participation in recreation, leisure or competitive sport with community, family members or friends. </w:t>
      </w:r>
    </w:p>
    <w:p w14:paraId="10DC96FA" w14:textId="77777777" w:rsidR="00A03FD9" w:rsidRPr="00AC0981" w:rsidRDefault="00A03FD9" w:rsidP="00A03FD9">
      <w:pPr>
        <w:pStyle w:val="ListParagraph"/>
        <w:numPr>
          <w:ilvl w:val="1"/>
          <w:numId w:val="2"/>
        </w:numPr>
        <w:spacing w:line="360" w:lineRule="auto"/>
        <w:jc w:val="both"/>
        <w:rPr>
          <w:sz w:val="24"/>
          <w:szCs w:val="24"/>
        </w:rPr>
      </w:pPr>
      <w:r w:rsidRPr="00AC0981">
        <w:rPr>
          <w:sz w:val="24"/>
          <w:szCs w:val="24"/>
        </w:rPr>
        <w:t>Increased range and independence in outdoor mobility.</w:t>
      </w:r>
    </w:p>
    <w:p w14:paraId="7998C1D8" w14:textId="77777777" w:rsidR="00A03FD9" w:rsidRPr="00AC0981" w:rsidRDefault="00A03FD9" w:rsidP="00A03FD9">
      <w:pPr>
        <w:pStyle w:val="ListParagraph"/>
        <w:numPr>
          <w:ilvl w:val="1"/>
          <w:numId w:val="2"/>
        </w:numPr>
        <w:spacing w:line="360" w:lineRule="auto"/>
        <w:jc w:val="both"/>
        <w:rPr>
          <w:sz w:val="24"/>
          <w:szCs w:val="24"/>
        </w:rPr>
      </w:pPr>
      <w:r w:rsidRPr="00AC0981">
        <w:rPr>
          <w:sz w:val="24"/>
          <w:szCs w:val="24"/>
        </w:rPr>
        <w:t>Increased physical fitness, confidence, and social capital.</w:t>
      </w:r>
    </w:p>
    <w:p w14:paraId="7451712E" w14:textId="77777777" w:rsidR="00A03FD9" w:rsidRDefault="00A03FD9" w:rsidP="00A03FD9">
      <w:pPr>
        <w:pStyle w:val="Heading3"/>
        <w:spacing w:after="240"/>
      </w:pPr>
      <w:bookmarkStart w:id="9" w:name="_Toc139196832"/>
      <w:bookmarkStart w:id="10" w:name="_Toc145588469"/>
      <w:bookmarkStart w:id="11" w:name="_Toc159927798"/>
      <w:r w:rsidRPr="00AC0981">
        <w:t>Insight 3: Access is key.</w:t>
      </w:r>
      <w:bookmarkEnd w:id="9"/>
      <w:bookmarkEnd w:id="10"/>
      <w:bookmarkEnd w:id="11"/>
      <w:r w:rsidRPr="00AC0981">
        <w:t xml:space="preserve"> </w:t>
      </w:r>
    </w:p>
    <w:p w14:paraId="736FD955" w14:textId="77777777" w:rsidR="00A03FD9" w:rsidRDefault="00A03FD9" w:rsidP="00A03FD9">
      <w:pPr>
        <w:spacing w:line="360" w:lineRule="auto"/>
        <w:jc w:val="both"/>
        <w:rPr>
          <w:sz w:val="24"/>
          <w:szCs w:val="24"/>
        </w:rPr>
      </w:pPr>
      <w:r w:rsidRPr="00AC0981">
        <w:rPr>
          <w:sz w:val="24"/>
          <w:szCs w:val="24"/>
        </w:rPr>
        <w:t xml:space="preserve">While adapted bikes can support inclusion, they can be difficult to transport and use in public spaces (see report p. 22). A standard adapted bike is </w:t>
      </w:r>
      <w:r>
        <w:rPr>
          <w:sz w:val="24"/>
          <w:szCs w:val="24"/>
        </w:rPr>
        <w:t>800mm</w:t>
      </w:r>
      <w:r w:rsidRPr="00AC0981">
        <w:rPr>
          <w:sz w:val="24"/>
          <w:szCs w:val="24"/>
        </w:rPr>
        <w:t xml:space="preserve"> wide and </w:t>
      </w:r>
      <w:r>
        <w:rPr>
          <w:sz w:val="24"/>
          <w:szCs w:val="24"/>
        </w:rPr>
        <w:t>850mm</w:t>
      </w:r>
      <w:r w:rsidRPr="00AC0981">
        <w:rPr>
          <w:sz w:val="24"/>
          <w:szCs w:val="24"/>
        </w:rPr>
        <w:t xml:space="preserve"> tall. Narrow footpaths, parked cars, unattended e-scooters, and pavement furniture such as café chairs and tables can make it difficult or even dangerous to ride an adapted bike. Additionally, </w:t>
      </w:r>
      <w:r>
        <w:rPr>
          <w:sz w:val="24"/>
          <w:szCs w:val="24"/>
        </w:rPr>
        <w:t xml:space="preserve">access to recreation requires attention to systemic factors including the affordability of recreation </w:t>
      </w:r>
      <w:r>
        <w:rPr>
          <w:sz w:val="24"/>
          <w:szCs w:val="24"/>
        </w:rPr>
        <w:lastRenderedPageBreak/>
        <w:t>activities, the accessibility of locations and transport, and the impacts of inclusive versus exclusionary attitudes and practice (see report p. 80-81).</w:t>
      </w:r>
    </w:p>
    <w:p w14:paraId="24F19A2D" w14:textId="77777777" w:rsidR="00A03FD9" w:rsidRDefault="00A03FD9" w:rsidP="00A03FD9">
      <w:pPr>
        <w:spacing w:line="360" w:lineRule="auto"/>
        <w:jc w:val="both"/>
        <w:rPr>
          <w:sz w:val="24"/>
          <w:szCs w:val="24"/>
        </w:rPr>
      </w:pPr>
    </w:p>
    <w:p w14:paraId="63B47368" w14:textId="77777777" w:rsidR="00A03FD9" w:rsidRDefault="00A03FD9" w:rsidP="00A03FD9">
      <w:pPr>
        <w:pStyle w:val="Heading3"/>
        <w:spacing w:after="240"/>
      </w:pPr>
      <w:bookmarkStart w:id="12" w:name="_Toc139196833"/>
      <w:bookmarkStart w:id="13" w:name="_Toc145588470"/>
      <w:bookmarkStart w:id="14" w:name="_Toc159927799"/>
      <w:r w:rsidRPr="00AC0981">
        <w:t>Insight 4: Accessible bike programs require appropriate funding to meet demand.</w:t>
      </w:r>
      <w:bookmarkEnd w:id="12"/>
      <w:bookmarkEnd w:id="13"/>
      <w:bookmarkEnd w:id="14"/>
      <w:r w:rsidRPr="00AC0981">
        <w:t xml:space="preserve"> </w:t>
      </w:r>
    </w:p>
    <w:p w14:paraId="1CBC4C6D" w14:textId="77777777" w:rsidR="00A03FD9" w:rsidRDefault="00A03FD9" w:rsidP="00A03FD9">
      <w:pPr>
        <w:spacing w:line="360" w:lineRule="auto"/>
        <w:jc w:val="both"/>
        <w:rPr>
          <w:sz w:val="24"/>
          <w:szCs w:val="24"/>
        </w:rPr>
      </w:pPr>
      <w:r w:rsidRPr="00AC0981">
        <w:rPr>
          <w:sz w:val="24"/>
          <w:szCs w:val="24"/>
        </w:rPr>
        <w:t xml:space="preserve">Many rides of adapted bikes have complex disability and require a solution that is individually tailored to their needs (see report pages 20-21). With improved recreational goal setting under the NDIS, custom cycling solutions are in high demand. However, there are significant labour and resourcing costs involved in fitting, prescribing, making, and trialling a custom adapted bike, and increasing community awareness of adapted cycling options. Much of this work is non-billable under the NDIS, and custom bike providers like </w:t>
      </w:r>
      <w:r>
        <w:rPr>
          <w:sz w:val="24"/>
          <w:szCs w:val="24"/>
        </w:rPr>
        <w:t xml:space="preserve">the </w:t>
      </w:r>
      <w:r>
        <w:rPr>
          <w:rFonts w:cstheme="minorHAnsi"/>
          <w:sz w:val="24"/>
          <w:szCs w:val="24"/>
        </w:rPr>
        <w:t>TAD Australia Network</w:t>
      </w:r>
      <w:r w:rsidRPr="00AC0981">
        <w:rPr>
          <w:sz w:val="24"/>
          <w:szCs w:val="24"/>
        </w:rPr>
        <w:t xml:space="preserve"> are currently reliant on a volunteer workforce to meet demand. Increased funding and tailored funding models will be needed to ensure the growing community of adaptive riders can access affordable support and equipment into the future. </w:t>
      </w:r>
    </w:p>
    <w:p w14:paraId="7ECCBDCC" w14:textId="77777777" w:rsidR="00A03FD9" w:rsidRPr="00AC0981" w:rsidRDefault="00A03FD9" w:rsidP="00A03FD9">
      <w:pPr>
        <w:pStyle w:val="Heading3"/>
        <w:spacing w:after="240"/>
      </w:pPr>
      <w:bookmarkStart w:id="15" w:name="_Toc139196834"/>
      <w:bookmarkStart w:id="16" w:name="_Toc145588471"/>
      <w:bookmarkStart w:id="17" w:name="_Toc159927800"/>
      <w:r>
        <w:t>Practice Recommendations</w:t>
      </w:r>
      <w:bookmarkEnd w:id="15"/>
      <w:bookmarkEnd w:id="16"/>
      <w:bookmarkEnd w:id="17"/>
    </w:p>
    <w:p w14:paraId="0F9A30E6" w14:textId="77777777" w:rsidR="00A03FD9" w:rsidRPr="00AC0981" w:rsidRDefault="00A03FD9" w:rsidP="00A03FD9">
      <w:pPr>
        <w:spacing w:line="360" w:lineRule="auto"/>
        <w:rPr>
          <w:sz w:val="24"/>
          <w:szCs w:val="24"/>
        </w:rPr>
      </w:pPr>
      <w:r w:rsidRPr="00AC0981">
        <w:rPr>
          <w:sz w:val="24"/>
          <w:szCs w:val="24"/>
        </w:rPr>
        <w:t xml:space="preserve">Practice recommendations for </w:t>
      </w:r>
      <w:r w:rsidRPr="00AC0981">
        <w:rPr>
          <w:b/>
          <w:bCs/>
          <w:sz w:val="24"/>
          <w:szCs w:val="24"/>
        </w:rPr>
        <w:t>Governments, local</w:t>
      </w:r>
      <w:r w:rsidRPr="00AC0981">
        <w:rPr>
          <w:sz w:val="24"/>
          <w:szCs w:val="24"/>
        </w:rPr>
        <w:t xml:space="preserve"> </w:t>
      </w:r>
      <w:r w:rsidRPr="00AC0981">
        <w:rPr>
          <w:b/>
          <w:bCs/>
          <w:sz w:val="24"/>
          <w:szCs w:val="24"/>
        </w:rPr>
        <w:t>councils and urban planners</w:t>
      </w:r>
      <w:r w:rsidRPr="00AC0981">
        <w:rPr>
          <w:sz w:val="24"/>
          <w:szCs w:val="24"/>
        </w:rPr>
        <w:t xml:space="preserve"> include: </w:t>
      </w:r>
    </w:p>
    <w:p w14:paraId="2952AFB6" w14:textId="77777777" w:rsidR="00A03FD9" w:rsidRPr="00AC0981" w:rsidRDefault="00A03FD9" w:rsidP="00A03FD9">
      <w:pPr>
        <w:pStyle w:val="ListParagraph"/>
        <w:numPr>
          <w:ilvl w:val="0"/>
          <w:numId w:val="1"/>
        </w:numPr>
        <w:spacing w:after="160" w:line="360" w:lineRule="auto"/>
        <w:jc w:val="both"/>
        <w:rPr>
          <w:sz w:val="24"/>
          <w:szCs w:val="24"/>
        </w:rPr>
      </w:pPr>
      <w:r w:rsidRPr="00AC0981">
        <w:rPr>
          <w:sz w:val="24"/>
          <w:szCs w:val="24"/>
        </w:rPr>
        <w:t>Consider options for secure parking and transportation of adapted bikes in addition to wheelchairs and mobility scooters. This includes considerations for the width and height of storage bays, as adapted bikes are larger and heavier, and cyclists with disability may have more difficulty in manoeuvring or lifting their bike.</w:t>
      </w:r>
    </w:p>
    <w:p w14:paraId="642BAFE2" w14:textId="77777777" w:rsidR="00A03FD9" w:rsidRPr="00AC0981" w:rsidRDefault="00A03FD9" w:rsidP="00A03FD9">
      <w:pPr>
        <w:pStyle w:val="ListParagraph"/>
        <w:numPr>
          <w:ilvl w:val="0"/>
          <w:numId w:val="1"/>
        </w:numPr>
        <w:spacing w:after="160" w:line="360" w:lineRule="auto"/>
        <w:jc w:val="both"/>
        <w:rPr>
          <w:sz w:val="24"/>
          <w:szCs w:val="24"/>
        </w:rPr>
      </w:pPr>
      <w:r w:rsidRPr="00AC0981">
        <w:rPr>
          <w:sz w:val="24"/>
          <w:szCs w:val="24"/>
        </w:rPr>
        <w:t>Creating maps of accessible and inclusive cycling routes.</w:t>
      </w:r>
    </w:p>
    <w:p w14:paraId="7B0757FA" w14:textId="77777777" w:rsidR="00A03FD9" w:rsidRPr="00AC0981" w:rsidRDefault="00A03FD9" w:rsidP="00A03FD9">
      <w:pPr>
        <w:pStyle w:val="ListParagraph"/>
        <w:numPr>
          <w:ilvl w:val="0"/>
          <w:numId w:val="1"/>
        </w:numPr>
        <w:spacing w:after="160" w:line="360" w:lineRule="auto"/>
        <w:jc w:val="both"/>
        <w:rPr>
          <w:sz w:val="24"/>
          <w:szCs w:val="24"/>
        </w:rPr>
      </w:pPr>
      <w:r w:rsidRPr="00AC0981">
        <w:rPr>
          <w:sz w:val="24"/>
          <w:szCs w:val="24"/>
        </w:rPr>
        <w:t xml:space="preserve">Ensure that all new or updated cycling facilities consider accessibility and safety for all users, including pedestrians with and without disability, people using mobility aids, and those using adapted cycling equipment. </w:t>
      </w:r>
    </w:p>
    <w:p w14:paraId="63C6FAB8" w14:textId="77777777" w:rsidR="00A03FD9" w:rsidRPr="00AC0981" w:rsidRDefault="00A03FD9" w:rsidP="00A03FD9">
      <w:pPr>
        <w:pStyle w:val="ListParagraph"/>
        <w:numPr>
          <w:ilvl w:val="0"/>
          <w:numId w:val="1"/>
        </w:numPr>
        <w:spacing w:after="160" w:line="360" w:lineRule="auto"/>
        <w:rPr>
          <w:sz w:val="24"/>
          <w:szCs w:val="24"/>
        </w:rPr>
      </w:pPr>
      <w:r w:rsidRPr="00AC0981">
        <w:rPr>
          <w:sz w:val="24"/>
          <w:szCs w:val="24"/>
        </w:rPr>
        <w:t>Encourage the inclusion of non-standard cycles in bike rental and bike-share schemes.</w:t>
      </w:r>
    </w:p>
    <w:p w14:paraId="638D4A12" w14:textId="77777777" w:rsidR="00A03FD9" w:rsidRPr="00AC0981" w:rsidRDefault="00A03FD9" w:rsidP="00A03FD9">
      <w:pPr>
        <w:pStyle w:val="ListParagraph"/>
        <w:numPr>
          <w:ilvl w:val="0"/>
          <w:numId w:val="1"/>
        </w:numPr>
        <w:spacing w:after="160" w:line="360" w:lineRule="auto"/>
        <w:jc w:val="both"/>
        <w:rPr>
          <w:sz w:val="24"/>
          <w:szCs w:val="24"/>
        </w:rPr>
      </w:pPr>
      <w:r w:rsidRPr="00AC0981">
        <w:rPr>
          <w:sz w:val="24"/>
          <w:szCs w:val="24"/>
        </w:rPr>
        <w:t xml:space="preserve">Understand the complex costs of operating the custom assistive technology services that provide adapted bikes, and work in partnership with these organisations to ensure sustainable funding and infrastructure supports remain available. </w:t>
      </w:r>
    </w:p>
    <w:p w14:paraId="3E5F7D97" w14:textId="77777777" w:rsidR="00A03FD9" w:rsidRPr="00AC0981" w:rsidRDefault="00A03FD9" w:rsidP="00A03FD9">
      <w:pPr>
        <w:spacing w:line="360" w:lineRule="auto"/>
        <w:jc w:val="both"/>
        <w:rPr>
          <w:sz w:val="24"/>
          <w:szCs w:val="24"/>
        </w:rPr>
      </w:pPr>
      <w:r w:rsidRPr="00AC0981">
        <w:rPr>
          <w:sz w:val="24"/>
          <w:szCs w:val="24"/>
        </w:rPr>
        <w:t xml:space="preserve">Practice suggestions for </w:t>
      </w:r>
      <w:r w:rsidRPr="00AC0981">
        <w:rPr>
          <w:b/>
          <w:bCs/>
          <w:sz w:val="24"/>
          <w:szCs w:val="24"/>
        </w:rPr>
        <w:t>community members</w:t>
      </w:r>
      <w:r w:rsidRPr="00AC0981">
        <w:rPr>
          <w:sz w:val="24"/>
          <w:szCs w:val="24"/>
        </w:rPr>
        <w:t xml:space="preserve"> include:</w:t>
      </w:r>
    </w:p>
    <w:p w14:paraId="7061D6A8" w14:textId="77777777" w:rsidR="00A03FD9" w:rsidRPr="00AC0981" w:rsidRDefault="00A03FD9" w:rsidP="00A03FD9">
      <w:pPr>
        <w:pStyle w:val="ListParagraph"/>
        <w:numPr>
          <w:ilvl w:val="0"/>
          <w:numId w:val="1"/>
        </w:numPr>
        <w:spacing w:after="160" w:line="360" w:lineRule="auto"/>
        <w:jc w:val="both"/>
        <w:rPr>
          <w:sz w:val="24"/>
          <w:szCs w:val="24"/>
        </w:rPr>
      </w:pPr>
      <w:r w:rsidRPr="00AC0981">
        <w:rPr>
          <w:sz w:val="24"/>
          <w:szCs w:val="24"/>
        </w:rPr>
        <w:lastRenderedPageBreak/>
        <w:t xml:space="preserve">Educate local businesses (e.g., cafes, restaurants) about the minimum width that pavements should be kept clear to accommodate wheelchairs, mobility scooters, and adapted bikes. </w:t>
      </w:r>
    </w:p>
    <w:p w14:paraId="7474CBD6" w14:textId="77777777" w:rsidR="00A03FD9" w:rsidRPr="00AC0981" w:rsidRDefault="00A03FD9" w:rsidP="00A03FD9">
      <w:pPr>
        <w:pStyle w:val="ListParagraph"/>
        <w:numPr>
          <w:ilvl w:val="0"/>
          <w:numId w:val="1"/>
        </w:numPr>
        <w:spacing w:after="160" w:line="360" w:lineRule="auto"/>
        <w:jc w:val="both"/>
        <w:rPr>
          <w:sz w:val="24"/>
          <w:szCs w:val="24"/>
        </w:rPr>
      </w:pPr>
      <w:r w:rsidRPr="00AC0981">
        <w:rPr>
          <w:sz w:val="24"/>
          <w:szCs w:val="24"/>
        </w:rPr>
        <w:t xml:space="preserve">Maintain the pavement space outside of your business or home, and report hazards (e.g., cracked pavements, overgrown hedges/nature strips, and abandoned items) to your local council. </w:t>
      </w:r>
    </w:p>
    <w:p w14:paraId="3FBCC4A8" w14:textId="77777777" w:rsidR="00A03FD9" w:rsidRPr="00AC0981" w:rsidRDefault="00A03FD9" w:rsidP="00A03FD9">
      <w:pPr>
        <w:pStyle w:val="ListParagraph"/>
        <w:numPr>
          <w:ilvl w:val="0"/>
          <w:numId w:val="1"/>
        </w:numPr>
        <w:spacing w:after="160" w:line="360" w:lineRule="auto"/>
        <w:jc w:val="both"/>
        <w:rPr>
          <w:sz w:val="24"/>
          <w:szCs w:val="24"/>
        </w:rPr>
      </w:pPr>
      <w:r w:rsidRPr="00AC0981">
        <w:rPr>
          <w:sz w:val="24"/>
          <w:szCs w:val="24"/>
        </w:rPr>
        <w:t xml:space="preserve">Contribute to inclusive recreation spaces by being mindful of cyclists with disability when you are using the road or cycle paths. </w:t>
      </w:r>
    </w:p>
    <w:p w14:paraId="47D13ADF" w14:textId="77777777" w:rsidR="00A03FD9" w:rsidRPr="00172F67" w:rsidRDefault="00A03FD9" w:rsidP="00A03FD9">
      <w:pPr>
        <w:pStyle w:val="Heading3"/>
        <w:spacing w:after="240"/>
      </w:pPr>
      <w:bookmarkStart w:id="18" w:name="_Toc139196835"/>
      <w:bookmarkStart w:id="19" w:name="_Toc145588472"/>
      <w:bookmarkStart w:id="20" w:name="_Toc159927801"/>
      <w:r>
        <w:t>Recommended Resources</w:t>
      </w:r>
      <w:bookmarkEnd w:id="18"/>
      <w:bookmarkEnd w:id="19"/>
      <w:bookmarkEnd w:id="20"/>
    </w:p>
    <w:p w14:paraId="40CC4EAF" w14:textId="77777777" w:rsidR="00A03FD9" w:rsidRPr="00AC0981" w:rsidRDefault="00A03FD9" w:rsidP="00A03FD9">
      <w:pPr>
        <w:spacing w:line="360" w:lineRule="auto"/>
        <w:jc w:val="both"/>
        <w:rPr>
          <w:sz w:val="24"/>
          <w:szCs w:val="24"/>
        </w:rPr>
      </w:pPr>
      <w:r w:rsidRPr="00AC0981">
        <w:rPr>
          <w:sz w:val="24"/>
          <w:szCs w:val="24"/>
        </w:rPr>
        <w:t xml:space="preserve">Some external resources for accessibility in cycling and urban design include: </w:t>
      </w:r>
    </w:p>
    <w:p w14:paraId="78F368F6" w14:textId="77777777" w:rsidR="00A03FD9" w:rsidRPr="00AC0981" w:rsidRDefault="00A03FD9" w:rsidP="00A03FD9">
      <w:pPr>
        <w:pStyle w:val="ListParagraph"/>
        <w:numPr>
          <w:ilvl w:val="0"/>
          <w:numId w:val="1"/>
        </w:numPr>
        <w:spacing w:after="160" w:line="360" w:lineRule="auto"/>
        <w:jc w:val="both"/>
        <w:rPr>
          <w:sz w:val="24"/>
          <w:szCs w:val="24"/>
        </w:rPr>
      </w:pPr>
      <w:hyperlink r:id="rId9" w:history="1">
        <w:r w:rsidRPr="00AC0981">
          <w:rPr>
            <w:rStyle w:val="Hyperlink"/>
            <w:sz w:val="24"/>
            <w:szCs w:val="24"/>
          </w:rPr>
          <w:t>C40: How to grow cycling by improving equity and accessibility</w:t>
        </w:r>
      </w:hyperlink>
      <w:r w:rsidRPr="00AC0981">
        <w:rPr>
          <w:sz w:val="24"/>
          <w:szCs w:val="24"/>
        </w:rPr>
        <w:t xml:space="preserve">. </w:t>
      </w:r>
    </w:p>
    <w:p w14:paraId="2D0E99F5" w14:textId="77777777" w:rsidR="00A03FD9" w:rsidRPr="00AC0981" w:rsidRDefault="00A03FD9" w:rsidP="00A03FD9">
      <w:pPr>
        <w:pStyle w:val="ListParagraph"/>
        <w:numPr>
          <w:ilvl w:val="0"/>
          <w:numId w:val="1"/>
        </w:numPr>
        <w:spacing w:after="160" w:line="360" w:lineRule="auto"/>
        <w:jc w:val="both"/>
        <w:rPr>
          <w:sz w:val="24"/>
          <w:szCs w:val="24"/>
        </w:rPr>
      </w:pPr>
      <w:hyperlink r:id="rId10" w:history="1">
        <w:r w:rsidRPr="00AC0981">
          <w:rPr>
            <w:rStyle w:val="Hyperlink"/>
            <w:sz w:val="24"/>
            <w:szCs w:val="24"/>
          </w:rPr>
          <w:t>Wheels for Wellbeing: A guide to inclusive cycling</w:t>
        </w:r>
      </w:hyperlink>
      <w:r w:rsidRPr="00AC0981">
        <w:rPr>
          <w:sz w:val="24"/>
          <w:szCs w:val="24"/>
        </w:rPr>
        <w:t xml:space="preserve"> (Opens as a pdf). </w:t>
      </w:r>
    </w:p>
    <w:p w14:paraId="243517C2" w14:textId="77777777" w:rsidR="00A03FD9" w:rsidRPr="00AC0981" w:rsidRDefault="00A03FD9" w:rsidP="00A03FD9">
      <w:pPr>
        <w:pStyle w:val="ListParagraph"/>
        <w:numPr>
          <w:ilvl w:val="0"/>
          <w:numId w:val="1"/>
        </w:numPr>
        <w:spacing w:after="160" w:line="360" w:lineRule="auto"/>
        <w:jc w:val="both"/>
        <w:rPr>
          <w:sz w:val="24"/>
          <w:szCs w:val="24"/>
        </w:rPr>
      </w:pPr>
      <w:hyperlink r:id="rId11" w:history="1">
        <w:r w:rsidRPr="003314C7">
          <w:rPr>
            <w:rStyle w:val="Hyperlink"/>
            <w:sz w:val="24"/>
            <w:szCs w:val="24"/>
          </w:rPr>
          <w:t>United Nations: Good Practices in Accessible Urban Development</w:t>
        </w:r>
      </w:hyperlink>
      <w:r w:rsidRPr="003314C7">
        <w:rPr>
          <w:sz w:val="24"/>
          <w:szCs w:val="24"/>
        </w:rPr>
        <w:t xml:space="preserve"> (Opens as a pdf)</w:t>
      </w:r>
    </w:p>
    <w:p w14:paraId="23DD3975" w14:textId="77777777" w:rsidR="00A03FD9" w:rsidRDefault="00A03FD9" w:rsidP="00A03FD9">
      <w:pPr>
        <w:rPr>
          <w:sz w:val="24"/>
          <w:szCs w:val="24"/>
        </w:rPr>
      </w:pPr>
      <w:hyperlink r:id="rId12" w:history="1">
        <w:r w:rsidRPr="00A87EF7">
          <w:rPr>
            <w:rStyle w:val="Hyperlink"/>
            <w:sz w:val="24"/>
            <w:szCs w:val="24"/>
          </w:rPr>
          <w:t>Henderson-Wilson, Andrews, Wilson &amp; Tucker (2022): Global Benchmarking of Accessible and Inclusive Cities</w:t>
        </w:r>
      </w:hyperlink>
      <w:r w:rsidRPr="00A87EF7">
        <w:rPr>
          <w:sz w:val="24"/>
          <w:szCs w:val="24"/>
        </w:rPr>
        <w:t xml:space="preserve"> (Opens as a pdf).</w:t>
      </w:r>
    </w:p>
    <w:p w14:paraId="1F2E02A5" w14:textId="77777777" w:rsidR="00A03FD9" w:rsidRDefault="00A03FD9" w:rsidP="00A03FD9">
      <w:pPr>
        <w:rPr>
          <w:sz w:val="24"/>
          <w:szCs w:val="24"/>
        </w:rPr>
      </w:pPr>
    </w:p>
    <w:p w14:paraId="4BA11AC2" w14:textId="77777777" w:rsidR="00A03FD9" w:rsidRDefault="00A03FD9" w:rsidP="00A03FD9">
      <w:pPr>
        <w:spacing w:after="0" w:line="360" w:lineRule="auto"/>
        <w:rPr>
          <w:rFonts w:cstheme="minorHAnsi"/>
          <w:color w:val="000000"/>
          <w:spacing w:val="0"/>
          <w:sz w:val="24"/>
          <w:szCs w:val="24"/>
          <w:lang w:val="en-US"/>
        </w:rPr>
      </w:pPr>
    </w:p>
    <w:p w14:paraId="7E8C534C" w14:textId="77777777" w:rsidR="00A03FD9" w:rsidRDefault="00A03FD9" w:rsidP="00A03FD9">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4A096A7" wp14:editId="1FC029C3">
                <wp:simplePos x="0" y="0"/>
                <wp:positionH relativeFrom="column">
                  <wp:posOffset>2823</wp:posOffset>
                </wp:positionH>
                <wp:positionV relativeFrom="paragraph">
                  <wp:posOffset>278871</wp:posOffset>
                </wp:positionV>
                <wp:extent cx="6319319" cy="2716039"/>
                <wp:effectExtent l="0" t="0" r="24765" b="27305"/>
                <wp:wrapNone/>
                <wp:docPr id="110043810" name="Text Box 110043810"/>
                <wp:cNvGraphicFramePr/>
                <a:graphic xmlns:a="http://schemas.openxmlformats.org/drawingml/2006/main">
                  <a:graphicData uri="http://schemas.microsoft.com/office/word/2010/wordprocessingShape">
                    <wps:wsp>
                      <wps:cNvSpPr txBox="1"/>
                      <wps:spPr>
                        <a:xfrm>
                          <a:off x="0" y="0"/>
                          <a:ext cx="6319319" cy="2716039"/>
                        </a:xfrm>
                        <a:prstGeom prst="rect">
                          <a:avLst/>
                        </a:prstGeom>
                        <a:solidFill>
                          <a:schemeClr val="bg2">
                            <a:lumMod val="95000"/>
                          </a:schemeClr>
                        </a:solidFill>
                        <a:ln w="6350">
                          <a:solidFill>
                            <a:prstClr val="black"/>
                          </a:solidFill>
                        </a:ln>
                      </wps:spPr>
                      <wps:txbx>
                        <w:txbxContent>
                          <w:p w14:paraId="74095F32" w14:textId="45C1A486" w:rsidR="00A03FD9" w:rsidRDefault="00A03FD9" w:rsidP="00A03FD9">
                            <w:pPr>
                              <w:spacing w:after="160" w:line="360" w:lineRule="auto"/>
                              <w:rPr>
                                <w:rFonts w:cstheme="minorHAnsi"/>
                                <w:sz w:val="24"/>
                                <w:szCs w:val="24"/>
                              </w:rPr>
                            </w:pPr>
                            <w:r>
                              <w:rPr>
                                <w:rFonts w:cstheme="minorHAnsi"/>
                                <w:sz w:val="24"/>
                                <w:szCs w:val="24"/>
                              </w:rPr>
                              <w:t xml:space="preserve">This </w:t>
                            </w:r>
                            <w:r>
                              <w:rPr>
                                <w:rFonts w:cstheme="minorHAnsi"/>
                                <w:sz w:val="24"/>
                                <w:szCs w:val="24"/>
                              </w:rPr>
                              <w:t>handout</w:t>
                            </w:r>
                            <w:r>
                              <w:rPr>
                                <w:rFonts w:cstheme="minorHAnsi"/>
                                <w:sz w:val="24"/>
                                <w:szCs w:val="24"/>
                              </w:rPr>
                              <w:t xml:space="preserve"> was developed as part of a commissioned project investigating inclusive sport and recreation in the TAD Australia Network</w:t>
                            </w:r>
                            <w:r w:rsidRPr="00D85994">
                              <w:rPr>
                                <w:rFonts w:cstheme="minorHAnsi"/>
                                <w:i/>
                                <w:iCs/>
                                <w:sz w:val="24"/>
                                <w:szCs w:val="24"/>
                              </w:rPr>
                              <w:t xml:space="preserve"> ‘My Active Life’</w:t>
                            </w:r>
                            <w:r>
                              <w:rPr>
                                <w:rFonts w:cstheme="minorHAnsi"/>
                                <w:sz w:val="24"/>
                                <w:szCs w:val="24"/>
                              </w:rPr>
                              <w:t xml:space="preserve"> program.  If you would like more information about this project, please email </w:t>
                            </w:r>
                            <w:hyperlink r:id="rId13" w:history="1">
                              <w:r w:rsidRPr="00F44D74">
                                <w:rPr>
                                  <w:rStyle w:val="Hyperlink"/>
                                  <w:rFonts w:cstheme="minorHAnsi"/>
                                  <w:sz w:val="24"/>
                                  <w:szCs w:val="24"/>
                                </w:rPr>
                                <w:t>assistivetech@deakin.edu.au</w:t>
                              </w:r>
                            </w:hyperlink>
                            <w:r>
                              <w:rPr>
                                <w:rFonts w:cstheme="minorHAnsi"/>
                                <w:sz w:val="24"/>
                                <w:szCs w:val="24"/>
                              </w:rPr>
                              <w:t>.</w:t>
                            </w:r>
                          </w:p>
                          <w:p w14:paraId="2695EC04" w14:textId="77777777" w:rsidR="00A03FD9" w:rsidRDefault="00A03FD9" w:rsidP="00A03FD9">
                            <w:pPr>
                              <w:spacing w:after="160" w:line="360" w:lineRule="auto"/>
                              <w:rPr>
                                <w:rFonts w:cstheme="minorHAnsi"/>
                                <w:sz w:val="24"/>
                                <w:szCs w:val="24"/>
                              </w:rPr>
                            </w:pPr>
                          </w:p>
                          <w:p w14:paraId="608C09D4" w14:textId="77777777" w:rsidR="00A03FD9" w:rsidRPr="00CB3EB0" w:rsidRDefault="00A03FD9" w:rsidP="00A03FD9">
                            <w:pPr>
                              <w:spacing w:after="160" w:line="360" w:lineRule="auto"/>
                              <w:rPr>
                                <w:rFonts w:cstheme="minorHAnsi"/>
                                <w:sz w:val="24"/>
                                <w:szCs w:val="24"/>
                              </w:rPr>
                            </w:pPr>
                            <w:r w:rsidRPr="00AE1E8C">
                              <w:rPr>
                                <w:rFonts w:cstheme="minorHAnsi"/>
                                <w:sz w:val="24"/>
                                <w:szCs w:val="24"/>
                              </w:rPr>
                              <w:t>Suggested Citation:</w:t>
                            </w:r>
                          </w:p>
                          <w:p w14:paraId="7761E294" w14:textId="2C426C1F" w:rsidR="00A03FD9" w:rsidRDefault="00A03FD9" w:rsidP="00A03FD9">
                            <w:pPr>
                              <w:pStyle w:val="Style2"/>
                            </w:pPr>
                            <w:r w:rsidRPr="00A03FD9">
                              <w:rPr>
                                <w:rFonts w:cstheme="minorHAnsi"/>
                                <w:color w:val="auto"/>
                                <w:sz w:val="24"/>
                                <w:szCs w:val="24"/>
                              </w:rPr>
                              <w:t xml:space="preserve">Anderson, K., Watchorn., V., Williams, D., Logan, S., Watson, J., Hitch, D., Fay, P., &amp; </w:t>
                            </w:r>
                            <w:proofErr w:type="spellStart"/>
                            <w:r w:rsidRPr="00A03FD9">
                              <w:rPr>
                                <w:rFonts w:cstheme="minorHAnsi"/>
                                <w:color w:val="auto"/>
                                <w:sz w:val="24"/>
                                <w:szCs w:val="24"/>
                              </w:rPr>
                              <w:t>Aedy</w:t>
                            </w:r>
                            <w:proofErr w:type="spellEnd"/>
                            <w:r w:rsidRPr="00A03FD9">
                              <w:rPr>
                                <w:rFonts w:cstheme="minorHAnsi"/>
                                <w:color w:val="auto"/>
                                <w:sz w:val="24"/>
                                <w:szCs w:val="24"/>
                              </w:rPr>
                              <w:t xml:space="preserve">, K. (2023). </w:t>
                            </w:r>
                            <w:r w:rsidRPr="00A03FD9">
                              <w:rPr>
                                <w:color w:val="auto"/>
                                <w:sz w:val="24"/>
                                <w:szCs w:val="24"/>
                              </w:rPr>
                              <w:t>Political and Media Talking Points</w:t>
                            </w:r>
                            <w:r>
                              <w:rPr>
                                <w:rFonts w:cstheme="minorHAnsi"/>
                                <w:sz w:val="24"/>
                                <w:szCs w:val="24"/>
                              </w:rPr>
                              <w:t xml:space="preserve">. </w:t>
                            </w:r>
                            <w:r w:rsidRPr="00A03FD9">
                              <w:rPr>
                                <w:rFonts w:cstheme="minorHAnsi"/>
                                <w:color w:val="auto"/>
                                <w:sz w:val="24"/>
                                <w:szCs w:val="24"/>
                              </w:rPr>
                              <w:t xml:space="preserve">In </w:t>
                            </w:r>
                            <w:r w:rsidRPr="00A03FD9">
                              <w:rPr>
                                <w:rFonts w:cstheme="minorHAnsi"/>
                                <w:i/>
                                <w:iCs/>
                                <w:color w:val="auto"/>
                                <w:sz w:val="24"/>
                                <w:szCs w:val="24"/>
                              </w:rPr>
                              <w:t xml:space="preserve">An investigation of inclusive sport and recreation in the My Active Life program.  </w:t>
                            </w:r>
                            <w:r w:rsidRPr="00A03FD9">
                              <w:rPr>
                                <w:rFonts w:cstheme="minorHAnsi"/>
                                <w:color w:val="auto"/>
                                <w:sz w:val="24"/>
                                <w:szCs w:val="24"/>
                              </w:rPr>
                              <w:t>(pp. 61 – 75). Deakin University.</w:t>
                            </w:r>
                            <w:r w:rsidRPr="00A03FD9">
                              <w:rPr>
                                <w:rFonts w:cstheme="minorHAnsi"/>
                                <w:i/>
                                <w:iCs/>
                                <w:color w:val="auto"/>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096A7" id="_x0000_t202" coordsize="21600,21600" o:spt="202" path="m,l,21600r21600,l21600,xe">
                <v:stroke joinstyle="miter"/>
                <v:path gradientshapeok="t" o:connecttype="rect"/>
              </v:shapetype>
              <v:shape id="Text Box 110043810" o:spid="_x0000_s1026" type="#_x0000_t202" style="position:absolute;margin-left:.2pt;margin-top:21.95pt;width:497.6pt;height:2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" fillcolor="#dbd9d9 [3054]" strokeweight=".5pt">
                <v:textbox>
                  <w:txbxContent>
                    <w:p w14:paraId="74095F32" w14:textId="45C1A486" w:rsidR="00A03FD9" w:rsidRDefault="00A03FD9" w:rsidP="00A03FD9">
                      <w:pPr>
                        <w:spacing w:after="160" w:line="360" w:lineRule="auto"/>
                        <w:rPr>
                          <w:rFonts w:cstheme="minorHAnsi"/>
                          <w:sz w:val="24"/>
                          <w:szCs w:val="24"/>
                        </w:rPr>
                      </w:pPr>
                      <w:r>
                        <w:rPr>
                          <w:rFonts w:cstheme="minorHAnsi"/>
                          <w:sz w:val="24"/>
                          <w:szCs w:val="24"/>
                        </w:rPr>
                        <w:t xml:space="preserve">This </w:t>
                      </w:r>
                      <w:r>
                        <w:rPr>
                          <w:rFonts w:cstheme="minorHAnsi"/>
                          <w:sz w:val="24"/>
                          <w:szCs w:val="24"/>
                        </w:rPr>
                        <w:t>handout</w:t>
                      </w:r>
                      <w:r>
                        <w:rPr>
                          <w:rFonts w:cstheme="minorHAnsi"/>
                          <w:sz w:val="24"/>
                          <w:szCs w:val="24"/>
                        </w:rPr>
                        <w:t xml:space="preserve"> was developed as part of a commissioned project investigating inclusive sport and recreation in the TAD Australia Network</w:t>
                      </w:r>
                      <w:r w:rsidRPr="00D85994">
                        <w:rPr>
                          <w:rFonts w:cstheme="minorHAnsi"/>
                          <w:i/>
                          <w:iCs/>
                          <w:sz w:val="24"/>
                          <w:szCs w:val="24"/>
                        </w:rPr>
                        <w:t xml:space="preserve"> ‘My Active Life’</w:t>
                      </w:r>
                      <w:r>
                        <w:rPr>
                          <w:rFonts w:cstheme="minorHAnsi"/>
                          <w:sz w:val="24"/>
                          <w:szCs w:val="24"/>
                        </w:rPr>
                        <w:t xml:space="preserve"> program.  If you would like more information about this project, please email </w:t>
                      </w:r>
                      <w:hyperlink r:id="rId14" w:history="1">
                        <w:r w:rsidRPr="00F44D74">
                          <w:rPr>
                            <w:rStyle w:val="Hyperlink"/>
                            <w:rFonts w:cstheme="minorHAnsi"/>
                            <w:sz w:val="24"/>
                            <w:szCs w:val="24"/>
                          </w:rPr>
                          <w:t>assistivetech@deakin.edu.au</w:t>
                        </w:r>
                      </w:hyperlink>
                      <w:r>
                        <w:rPr>
                          <w:rFonts w:cstheme="minorHAnsi"/>
                          <w:sz w:val="24"/>
                          <w:szCs w:val="24"/>
                        </w:rPr>
                        <w:t>.</w:t>
                      </w:r>
                    </w:p>
                    <w:p w14:paraId="2695EC04" w14:textId="77777777" w:rsidR="00A03FD9" w:rsidRDefault="00A03FD9" w:rsidP="00A03FD9">
                      <w:pPr>
                        <w:spacing w:after="160" w:line="360" w:lineRule="auto"/>
                        <w:rPr>
                          <w:rFonts w:cstheme="minorHAnsi"/>
                          <w:sz w:val="24"/>
                          <w:szCs w:val="24"/>
                        </w:rPr>
                      </w:pPr>
                    </w:p>
                    <w:p w14:paraId="608C09D4" w14:textId="77777777" w:rsidR="00A03FD9" w:rsidRPr="00CB3EB0" w:rsidRDefault="00A03FD9" w:rsidP="00A03FD9">
                      <w:pPr>
                        <w:spacing w:after="160" w:line="360" w:lineRule="auto"/>
                        <w:rPr>
                          <w:rFonts w:cstheme="minorHAnsi"/>
                          <w:sz w:val="24"/>
                          <w:szCs w:val="24"/>
                        </w:rPr>
                      </w:pPr>
                      <w:r w:rsidRPr="00AE1E8C">
                        <w:rPr>
                          <w:rFonts w:cstheme="minorHAnsi"/>
                          <w:sz w:val="24"/>
                          <w:szCs w:val="24"/>
                        </w:rPr>
                        <w:t>Suggested Citation:</w:t>
                      </w:r>
                    </w:p>
                    <w:p w14:paraId="7761E294" w14:textId="2C426C1F" w:rsidR="00A03FD9" w:rsidRDefault="00A03FD9" w:rsidP="00A03FD9">
                      <w:pPr>
                        <w:pStyle w:val="Style2"/>
                      </w:pPr>
                      <w:r w:rsidRPr="00A03FD9">
                        <w:rPr>
                          <w:rFonts w:cstheme="minorHAnsi"/>
                          <w:color w:val="auto"/>
                          <w:sz w:val="24"/>
                          <w:szCs w:val="24"/>
                        </w:rPr>
                        <w:t xml:space="preserve">Anderson, K., Watchorn., V., Williams, D., Logan, S., Watson, J., Hitch, D., Fay, P., &amp; </w:t>
                      </w:r>
                      <w:proofErr w:type="spellStart"/>
                      <w:r w:rsidRPr="00A03FD9">
                        <w:rPr>
                          <w:rFonts w:cstheme="minorHAnsi"/>
                          <w:color w:val="auto"/>
                          <w:sz w:val="24"/>
                          <w:szCs w:val="24"/>
                        </w:rPr>
                        <w:t>Aedy</w:t>
                      </w:r>
                      <w:proofErr w:type="spellEnd"/>
                      <w:r w:rsidRPr="00A03FD9">
                        <w:rPr>
                          <w:rFonts w:cstheme="minorHAnsi"/>
                          <w:color w:val="auto"/>
                          <w:sz w:val="24"/>
                          <w:szCs w:val="24"/>
                        </w:rPr>
                        <w:t xml:space="preserve">, K. (2023). </w:t>
                      </w:r>
                      <w:r w:rsidRPr="00A03FD9">
                        <w:rPr>
                          <w:color w:val="auto"/>
                          <w:sz w:val="24"/>
                          <w:szCs w:val="24"/>
                        </w:rPr>
                        <w:t>Political and Media Talking Points</w:t>
                      </w:r>
                      <w:r>
                        <w:rPr>
                          <w:rFonts w:cstheme="minorHAnsi"/>
                          <w:sz w:val="24"/>
                          <w:szCs w:val="24"/>
                        </w:rPr>
                        <w:t xml:space="preserve">. </w:t>
                      </w:r>
                      <w:r w:rsidRPr="00A03FD9">
                        <w:rPr>
                          <w:rFonts w:cstheme="minorHAnsi"/>
                          <w:color w:val="auto"/>
                          <w:sz w:val="24"/>
                          <w:szCs w:val="24"/>
                        </w:rPr>
                        <w:t xml:space="preserve">In </w:t>
                      </w:r>
                      <w:r w:rsidRPr="00A03FD9">
                        <w:rPr>
                          <w:rFonts w:cstheme="minorHAnsi"/>
                          <w:i/>
                          <w:iCs/>
                          <w:color w:val="auto"/>
                          <w:sz w:val="24"/>
                          <w:szCs w:val="24"/>
                        </w:rPr>
                        <w:t xml:space="preserve">An investigation of inclusive sport and recreation in the My Active Life program.  </w:t>
                      </w:r>
                      <w:r w:rsidRPr="00A03FD9">
                        <w:rPr>
                          <w:rFonts w:cstheme="minorHAnsi"/>
                          <w:color w:val="auto"/>
                          <w:sz w:val="24"/>
                          <w:szCs w:val="24"/>
                        </w:rPr>
                        <w:t>(pp. 61 – 75). Deakin University.</w:t>
                      </w:r>
                      <w:r w:rsidRPr="00A03FD9">
                        <w:rPr>
                          <w:rFonts w:cstheme="minorHAnsi"/>
                          <w:i/>
                          <w:iCs/>
                          <w:color w:val="auto"/>
                          <w:sz w:val="24"/>
                          <w:szCs w:val="24"/>
                        </w:rPr>
                        <w:t xml:space="preserve">            </w:t>
                      </w:r>
                    </w:p>
                  </w:txbxContent>
                </v:textbox>
              </v:shape>
            </w:pict>
          </mc:Fallback>
        </mc:AlternateContent>
      </w:r>
    </w:p>
    <w:p w14:paraId="68649992" w14:textId="77777777" w:rsidR="00A03FD9" w:rsidRDefault="00A03FD9" w:rsidP="00A03FD9">
      <w:pPr>
        <w:spacing w:after="160" w:line="259" w:lineRule="auto"/>
        <w:rPr>
          <w:rFonts w:ascii="Calibri" w:eastAsia="DengXian Light" w:hAnsi="Calibri" w:cs="Times New Roman"/>
          <w:color w:val="0B7161"/>
          <w:spacing w:val="0"/>
          <w:kern w:val="28"/>
          <w:sz w:val="100"/>
          <w:szCs w:val="56"/>
        </w:rPr>
      </w:pPr>
    </w:p>
    <w:p w14:paraId="77BC172F" w14:textId="07704F4C" w:rsidR="00A03FD9" w:rsidRPr="00A03FD9" w:rsidRDefault="00A03FD9" w:rsidP="00A03FD9">
      <w:pPr>
        <w:spacing w:after="160" w:line="259" w:lineRule="auto"/>
        <w:rPr>
          <w:color w:val="44546A" w:themeColor="text2"/>
          <w:sz w:val="36"/>
          <w:szCs w:val="40"/>
        </w:rPr>
      </w:pPr>
      <w:r>
        <w:rPr>
          <w:noProof/>
          <w:sz w:val="24"/>
          <w:szCs w:val="24"/>
        </w:rPr>
        <w:drawing>
          <wp:anchor distT="0" distB="0" distL="114300" distR="114300" simplePos="0" relativeHeight="251660288" behindDoc="0" locked="0" layoutInCell="1" allowOverlap="1" wp14:anchorId="2A0ECDF2" wp14:editId="14FF87EC">
            <wp:simplePos x="0" y="0"/>
            <wp:positionH relativeFrom="column">
              <wp:posOffset>-510639</wp:posOffset>
            </wp:positionH>
            <wp:positionV relativeFrom="paragraph">
              <wp:posOffset>5296395</wp:posOffset>
            </wp:positionV>
            <wp:extent cx="7553325" cy="878205"/>
            <wp:effectExtent l="0" t="0" r="9525" b="0"/>
            <wp:wrapNone/>
            <wp:docPr id="8582983" name="Picture 858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7553325" cy="878205"/>
                    </a:xfrm>
                    <a:prstGeom prst="rect">
                      <a:avLst/>
                    </a:prstGeom>
                    <a:noFill/>
                  </pic:spPr>
                </pic:pic>
              </a:graphicData>
            </a:graphic>
            <wp14:sizeRelH relativeFrom="page">
              <wp14:pctWidth>0</wp14:pctWidth>
            </wp14:sizeRelH>
            <wp14:sizeRelV relativeFrom="page">
              <wp14:pctHeight>0</wp14:pctHeight>
            </wp14:sizeRelV>
          </wp:anchor>
        </w:drawing>
      </w:r>
    </w:p>
    <w:sectPr w:rsidR="00A03FD9" w:rsidRPr="00A03FD9">
      <w:headerReference w:type="even" r:id="rId16"/>
      <w:head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F495" w14:textId="77777777" w:rsidR="00A03FD9" w:rsidRDefault="00A03FD9" w:rsidP="00A03FD9">
      <w:pPr>
        <w:spacing w:after="0" w:line="240" w:lineRule="auto"/>
      </w:pPr>
      <w:r>
        <w:separator/>
      </w:r>
    </w:p>
  </w:endnote>
  <w:endnote w:type="continuationSeparator" w:id="0">
    <w:p w14:paraId="77E62801" w14:textId="77777777" w:rsidR="00A03FD9" w:rsidRDefault="00A03FD9" w:rsidP="00A0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ody CS)">
    <w:altName w:val="Arial"/>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B589" w14:textId="77777777" w:rsidR="00A03FD9" w:rsidRDefault="00A03FD9" w:rsidP="00A03FD9">
      <w:pPr>
        <w:spacing w:after="0" w:line="240" w:lineRule="auto"/>
      </w:pPr>
      <w:r>
        <w:separator/>
      </w:r>
    </w:p>
  </w:footnote>
  <w:footnote w:type="continuationSeparator" w:id="0">
    <w:p w14:paraId="07BB5DAA" w14:textId="77777777" w:rsidR="00A03FD9" w:rsidRDefault="00A03FD9" w:rsidP="00A03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430D" w14:textId="15570F05" w:rsidR="00A03FD9" w:rsidRDefault="00A03FD9">
    <w:pPr>
      <w:pStyle w:val="Header"/>
    </w:pPr>
    <w:r>
      <w:rPr>
        <w:noProof/>
        <w14:ligatures w14:val="standardContextual"/>
      </w:rPr>
      <mc:AlternateContent>
        <mc:Choice Requires="wps">
          <w:drawing>
            <wp:anchor distT="0" distB="0" distL="0" distR="0" simplePos="0" relativeHeight="251659264" behindDoc="0" locked="0" layoutInCell="1" allowOverlap="1" wp14:anchorId="47E7EC23" wp14:editId="45870F14">
              <wp:simplePos x="635" y="635"/>
              <wp:positionH relativeFrom="page">
                <wp:align>center</wp:align>
              </wp:positionH>
              <wp:positionV relativeFrom="page">
                <wp:align>top</wp:align>
              </wp:positionV>
              <wp:extent cx="443865" cy="443865"/>
              <wp:effectExtent l="0" t="0" r="11430" b="5080"/>
              <wp:wrapNone/>
              <wp:docPr id="2"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B0C2E2" w14:textId="1E311DB6" w:rsidR="00A03FD9" w:rsidRPr="00A03FD9" w:rsidRDefault="00A03FD9" w:rsidP="00A03FD9">
                          <w:pPr>
                            <w:spacing w:after="0"/>
                            <w:rPr>
                              <w:rFonts w:ascii="Calibri" w:eastAsia="Calibri" w:hAnsi="Calibri" w:cs="Calibri"/>
                              <w:noProof/>
                              <w:color w:val="EEDC00"/>
                              <w:sz w:val="24"/>
                              <w:szCs w:val="24"/>
                            </w:rPr>
                          </w:pPr>
                          <w:r w:rsidRPr="00A03FD9">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E7EC23" id="_x0000_t202" coordsize="21600,21600" o:spt="202" path="m,l,21600r21600,l21600,xe">
              <v:stroke joinstyle="miter"/>
              <v:path gradientshapeok="t" o:connecttype="rect"/>
            </v:shapetype>
            <v:shape id="Text Box 2" o:spid="_x0000_s1027" type="#_x0000_t202" alt="RMIT Classification: Trus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EB0C2E2" w14:textId="1E311DB6" w:rsidR="00A03FD9" w:rsidRPr="00A03FD9" w:rsidRDefault="00A03FD9" w:rsidP="00A03FD9">
                    <w:pPr>
                      <w:spacing w:after="0"/>
                      <w:rPr>
                        <w:rFonts w:ascii="Calibri" w:eastAsia="Calibri" w:hAnsi="Calibri" w:cs="Calibri"/>
                        <w:noProof/>
                        <w:color w:val="EEDC00"/>
                        <w:sz w:val="24"/>
                        <w:szCs w:val="24"/>
                      </w:rPr>
                    </w:pPr>
                    <w:r w:rsidRPr="00A03FD9">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16B9" w14:textId="46ED2794" w:rsidR="00A03FD9" w:rsidRDefault="00A03FD9">
    <w:pPr>
      <w:pStyle w:val="Header"/>
    </w:pPr>
    <w:r>
      <w:rPr>
        <w:noProof/>
        <w14:ligatures w14:val="standardContextual"/>
      </w:rPr>
      <mc:AlternateContent>
        <mc:Choice Requires="wps">
          <w:drawing>
            <wp:anchor distT="0" distB="0" distL="0" distR="0" simplePos="0" relativeHeight="251660288" behindDoc="0" locked="0" layoutInCell="1" allowOverlap="1" wp14:anchorId="131426FE" wp14:editId="7F8720D3">
              <wp:simplePos x="914400" y="450526"/>
              <wp:positionH relativeFrom="page">
                <wp:align>center</wp:align>
              </wp:positionH>
              <wp:positionV relativeFrom="page">
                <wp:align>top</wp:align>
              </wp:positionV>
              <wp:extent cx="443865" cy="443865"/>
              <wp:effectExtent l="0" t="0" r="11430" b="5080"/>
              <wp:wrapNone/>
              <wp:docPr id="3" name="Text Box 3"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A7C132" w14:textId="79AB960B" w:rsidR="00A03FD9" w:rsidRPr="00A03FD9" w:rsidRDefault="00A03FD9" w:rsidP="00A03FD9">
                          <w:pPr>
                            <w:spacing w:after="0"/>
                            <w:rPr>
                              <w:rFonts w:ascii="Calibri" w:eastAsia="Calibri" w:hAnsi="Calibri" w:cs="Calibri"/>
                              <w:noProof/>
                              <w:color w:val="EEDC00"/>
                              <w:sz w:val="24"/>
                              <w:szCs w:val="24"/>
                            </w:rPr>
                          </w:pPr>
                          <w:r w:rsidRPr="00A03FD9">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1426FE" id="_x0000_t202" coordsize="21600,21600" o:spt="202" path="m,l,21600r21600,l21600,xe">
              <v:stroke joinstyle="miter"/>
              <v:path gradientshapeok="t" o:connecttype="rect"/>
            </v:shapetype>
            <v:shape id="Text Box 3" o:spid="_x0000_s1028" type="#_x0000_t202" alt="RMIT Classification: Trus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7A7C132" w14:textId="79AB960B" w:rsidR="00A03FD9" w:rsidRPr="00A03FD9" w:rsidRDefault="00A03FD9" w:rsidP="00A03FD9">
                    <w:pPr>
                      <w:spacing w:after="0"/>
                      <w:rPr>
                        <w:rFonts w:ascii="Calibri" w:eastAsia="Calibri" w:hAnsi="Calibri" w:cs="Calibri"/>
                        <w:noProof/>
                        <w:color w:val="EEDC00"/>
                        <w:sz w:val="24"/>
                        <w:szCs w:val="24"/>
                      </w:rPr>
                    </w:pPr>
                    <w:r w:rsidRPr="00A03FD9">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46F2" w14:textId="7DB2DCD4" w:rsidR="00A03FD9" w:rsidRDefault="00A03FD9">
    <w:pPr>
      <w:pStyle w:val="Header"/>
    </w:pPr>
    <w:r>
      <w:rPr>
        <w:noProof/>
        <w14:ligatures w14:val="standardContextual"/>
      </w:rPr>
      <mc:AlternateContent>
        <mc:Choice Requires="wps">
          <w:drawing>
            <wp:anchor distT="0" distB="0" distL="0" distR="0" simplePos="0" relativeHeight="251658240" behindDoc="0" locked="0" layoutInCell="1" allowOverlap="1" wp14:anchorId="51CE9EEF" wp14:editId="3AEC73A1">
              <wp:simplePos x="635" y="635"/>
              <wp:positionH relativeFrom="page">
                <wp:align>center</wp:align>
              </wp:positionH>
              <wp:positionV relativeFrom="page">
                <wp:align>top</wp:align>
              </wp:positionV>
              <wp:extent cx="443865" cy="443865"/>
              <wp:effectExtent l="0" t="0" r="11430" b="5080"/>
              <wp:wrapNone/>
              <wp:docPr id="1" name="Text Box 1"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5C6A42" w14:textId="48654F53" w:rsidR="00A03FD9" w:rsidRPr="00A03FD9" w:rsidRDefault="00A03FD9" w:rsidP="00A03FD9">
                          <w:pPr>
                            <w:spacing w:after="0"/>
                            <w:rPr>
                              <w:rFonts w:ascii="Calibri" w:eastAsia="Calibri" w:hAnsi="Calibri" w:cs="Calibri"/>
                              <w:noProof/>
                              <w:color w:val="EEDC00"/>
                              <w:sz w:val="24"/>
                              <w:szCs w:val="24"/>
                            </w:rPr>
                          </w:pPr>
                          <w:r w:rsidRPr="00A03FD9">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CE9EEF" id="_x0000_t202" coordsize="21600,21600" o:spt="202" path="m,l,21600r21600,l21600,xe">
              <v:stroke joinstyle="miter"/>
              <v:path gradientshapeok="t" o:connecttype="rect"/>
            </v:shapetype>
            <v:shape id="Text Box 1" o:spid="_x0000_s1029" type="#_x0000_t202" alt="RMIT Classification: Trus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45C6A42" w14:textId="48654F53" w:rsidR="00A03FD9" w:rsidRPr="00A03FD9" w:rsidRDefault="00A03FD9" w:rsidP="00A03FD9">
                    <w:pPr>
                      <w:spacing w:after="0"/>
                      <w:rPr>
                        <w:rFonts w:ascii="Calibri" w:eastAsia="Calibri" w:hAnsi="Calibri" w:cs="Calibri"/>
                        <w:noProof/>
                        <w:color w:val="EEDC00"/>
                        <w:sz w:val="24"/>
                        <w:szCs w:val="24"/>
                      </w:rPr>
                    </w:pPr>
                    <w:r w:rsidRPr="00A03FD9">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32B6"/>
    <w:multiLevelType w:val="hybridMultilevel"/>
    <w:tmpl w:val="851CE3C2"/>
    <w:lvl w:ilvl="0" w:tplc="691E3FA2">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E8D2D35"/>
    <w:multiLevelType w:val="hybridMultilevel"/>
    <w:tmpl w:val="1FD6CF10"/>
    <w:lvl w:ilvl="0" w:tplc="4CFE1322">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56587383">
    <w:abstractNumId w:val="0"/>
  </w:num>
  <w:num w:numId="2" w16cid:durableId="484467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D9"/>
    <w:rsid w:val="00A03FD9"/>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D643"/>
  <w15:chartTrackingRefBased/>
  <w15:docId w15:val="{215826B3-84F5-49AA-8D76-330D46A0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D9"/>
    <w:pPr>
      <w:spacing w:after="120" w:line="264" w:lineRule="auto"/>
    </w:pPr>
    <w:rPr>
      <w:spacing w:val="-3"/>
      <w:kern w:val="0"/>
      <w:sz w:val="20"/>
      <w:szCs w:val="22"/>
      <w:lang w:bidi="ar-SA"/>
      <w14:ligatures w14:val="none"/>
    </w:rPr>
  </w:style>
  <w:style w:type="paragraph" w:styleId="Heading2">
    <w:name w:val="heading 2"/>
    <w:basedOn w:val="Normal"/>
    <w:next w:val="Normal"/>
    <w:link w:val="Heading2Char"/>
    <w:uiPriority w:val="9"/>
    <w:semiHidden/>
    <w:unhideWhenUsed/>
    <w:qFormat/>
    <w:rsid w:val="00A03F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3FD9"/>
    <w:pPr>
      <w:keepNext/>
      <w:keepLines/>
      <w:spacing w:before="40" w:after="0" w:line="259" w:lineRule="auto"/>
      <w:outlineLvl w:val="2"/>
    </w:pPr>
    <w:rPr>
      <w:rFonts w:asciiTheme="majorHAnsi" w:eastAsiaTheme="majorEastAsia" w:hAnsiTheme="majorHAnsi" w:cstheme="majorBidi"/>
      <w:b/>
      <w:bCs/>
      <w:color w:val="1F3763" w:themeColor="accent1" w:themeShade="7F"/>
      <w:spacing w:val="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3FD9"/>
    <w:rPr>
      <w:rFonts w:asciiTheme="majorHAnsi" w:eastAsiaTheme="majorEastAsia" w:hAnsiTheme="majorHAnsi" w:cstheme="majorBidi"/>
      <w:b/>
      <w:bCs/>
      <w:color w:val="1F3763" w:themeColor="accent1" w:themeShade="7F"/>
      <w:kern w:val="0"/>
      <w:sz w:val="28"/>
      <w:lang w:bidi="ar-SA"/>
      <w14:ligatures w14:val="none"/>
    </w:rPr>
  </w:style>
  <w:style w:type="paragraph" w:styleId="ListParagraph">
    <w:name w:val="List Paragraph"/>
    <w:aliases w:val="Recommendation,List Paragraph1,List Paragraph11,Bullet point,Body text,Bullet Point,Bulletr List Paragraph,Content descriptions,FooterText,L,List Bullet 1,List Paragraph2,List Paragraph21,Listeafsnit1,NFP GP Bulleted List,リスト段落,0Bullet,列"/>
    <w:basedOn w:val="Normal"/>
    <w:link w:val="ListParagraphChar"/>
    <w:uiPriority w:val="34"/>
    <w:qFormat/>
    <w:rsid w:val="00A03FD9"/>
    <w:pPr>
      <w:ind w:left="170"/>
      <w:contextualSpacing/>
    </w:pPr>
  </w:style>
  <w:style w:type="character" w:styleId="Hyperlink">
    <w:name w:val="Hyperlink"/>
    <w:basedOn w:val="DefaultParagraphFont"/>
    <w:uiPriority w:val="99"/>
    <w:unhideWhenUsed/>
    <w:rsid w:val="00A03FD9"/>
    <w:rPr>
      <w:color w:val="0000FF"/>
      <w:u w:val="single"/>
    </w:rPr>
  </w:style>
  <w:style w:type="character" w:customStyle="1" w:styleId="ListParagraphChar">
    <w:name w:val="List Paragraph Char"/>
    <w:aliases w:val="Recommendation Char,List Paragraph1 Char,List Paragraph11 Char,Bullet point Char,Body text Char,Bullet Point Char,Bulletr List Paragraph Char,Content descriptions Char,FooterText Char,L Char,List Bullet 1 Char,List Paragraph2 Char"/>
    <w:basedOn w:val="DefaultParagraphFont"/>
    <w:link w:val="ListParagraph"/>
    <w:uiPriority w:val="34"/>
    <w:qFormat/>
    <w:locked/>
    <w:rsid w:val="00A03FD9"/>
    <w:rPr>
      <w:spacing w:val="-3"/>
      <w:kern w:val="0"/>
      <w:sz w:val="20"/>
      <w:szCs w:val="22"/>
      <w:lang w:bidi="ar-SA"/>
      <w14:ligatures w14:val="none"/>
    </w:rPr>
  </w:style>
  <w:style w:type="paragraph" w:customStyle="1" w:styleId="Style2">
    <w:name w:val="Style2"/>
    <w:basedOn w:val="Heading2"/>
    <w:link w:val="Style2Char"/>
    <w:qFormat/>
    <w:rsid w:val="00A03FD9"/>
    <w:pPr>
      <w:keepNext w:val="0"/>
      <w:keepLines w:val="0"/>
      <w:spacing w:before="120" w:after="60"/>
    </w:pPr>
    <w:rPr>
      <w:rFonts w:ascii="Calibri" w:eastAsia="Calibri" w:hAnsi="Calibri" w:cs="Arial (Body CS)"/>
      <w:color w:val="0B7161"/>
      <w:sz w:val="36"/>
      <w:szCs w:val="22"/>
    </w:rPr>
  </w:style>
  <w:style w:type="character" w:customStyle="1" w:styleId="Style2Char">
    <w:name w:val="Style2 Char"/>
    <w:basedOn w:val="Heading2Char"/>
    <w:link w:val="Style2"/>
    <w:rsid w:val="00A03FD9"/>
    <w:rPr>
      <w:rFonts w:ascii="Calibri" w:eastAsia="Calibri" w:hAnsi="Calibri" w:cs="Arial (Body CS)"/>
      <w:color w:val="0B7161"/>
      <w:spacing w:val="-3"/>
      <w:kern w:val="0"/>
      <w:sz w:val="36"/>
      <w:szCs w:val="22"/>
      <w:lang w:bidi="ar-SA"/>
      <w14:ligatures w14:val="none"/>
    </w:rPr>
  </w:style>
  <w:style w:type="character" w:customStyle="1" w:styleId="Heading2Char">
    <w:name w:val="Heading 2 Char"/>
    <w:basedOn w:val="DefaultParagraphFont"/>
    <w:link w:val="Heading2"/>
    <w:uiPriority w:val="9"/>
    <w:semiHidden/>
    <w:rsid w:val="00A03FD9"/>
    <w:rPr>
      <w:rFonts w:asciiTheme="majorHAnsi" w:eastAsiaTheme="majorEastAsia" w:hAnsiTheme="majorHAnsi" w:cstheme="majorBidi"/>
      <w:color w:val="2F5496" w:themeColor="accent1" w:themeShade="BF"/>
      <w:spacing w:val="-3"/>
      <w:kern w:val="0"/>
      <w:sz w:val="26"/>
      <w:szCs w:val="26"/>
      <w:lang w:bidi="ar-SA"/>
      <w14:ligatures w14:val="none"/>
    </w:rPr>
  </w:style>
  <w:style w:type="paragraph" w:styleId="Header">
    <w:name w:val="header"/>
    <w:basedOn w:val="Normal"/>
    <w:link w:val="HeaderChar"/>
    <w:uiPriority w:val="99"/>
    <w:unhideWhenUsed/>
    <w:rsid w:val="00A0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FD9"/>
    <w:rPr>
      <w:spacing w:val="-3"/>
      <w:kern w:val="0"/>
      <w:sz w:val="20"/>
      <w:szCs w:val="22"/>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humanrights.gov.au/accessible-technology" TargetMode="External"/><Relationship Id="rId13" Type="http://schemas.openxmlformats.org/officeDocument/2006/relationships/hyperlink" Target="mailto:assistivetech@deakin.edu.au"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umanrights.gov.au/our-work/disability-rights/projects/disability-rights-sport-and-recreation-page" TargetMode="External"/><Relationship Id="rId12" Type="http://schemas.openxmlformats.org/officeDocument/2006/relationships/hyperlink" Target="https://universaldesignaustralia.net.au/wp-content/uploads/2022/11/258-879-1-PB-1.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isabilities/documents/desa/good_practices_in_accessible_urban_development_october2016.pdf"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heelsforwellbeing.org.uk/wp-content/uploads/2019/12/FINAL-v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40knowledgehub.org/s/article/How-to-grow-cycling-by-improving-equity-and-accessibility?language=en_US" TargetMode="External"/><Relationship Id="rId14" Type="http://schemas.openxmlformats.org/officeDocument/2006/relationships/hyperlink" Target="mailto:assistivetech@deak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4783</Characters>
  <Application>Microsoft Office Word</Application>
  <DocSecurity>0</DocSecurity>
  <Lines>83</Lines>
  <Paragraphs>32</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Anderson</dc:creator>
  <cp:keywords/>
  <dc:description/>
  <cp:lastModifiedBy>Kate Anderson</cp:lastModifiedBy>
  <cp:revision>1</cp:revision>
  <dcterms:created xsi:type="dcterms:W3CDTF">2024-02-27T01:36:00Z</dcterms:created>
  <dcterms:modified xsi:type="dcterms:W3CDTF">2024-02-27T01:39:00Z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2024-02-27T01:38:40Z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d34ac6a3-5f2e-4da6-93d2-73ef031fea32</vt:lpwstr>
  </property>
  <property fmtid="{D5CDD505-2E9C-101B-9397-08002B2CF9AE}" pid="11" name="MSIP_Label_8c3d088b-6243-4963-a2e2-8b321ab7f8fc_ContentBits">
    <vt:lpwstr>1</vt:lpwstr>
  </property>
</Properties>
</file>