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09EC" w14:textId="77777777" w:rsidR="00E973E8" w:rsidRDefault="00401745" w:rsidP="00600ABF">
      <w:pPr>
        <w:pStyle w:val="Heading1"/>
        <w:spacing w:after="360"/>
      </w:pPr>
      <w:r>
        <w:t xml:space="preserve">Checklist: </w:t>
      </w:r>
      <w:r w:rsidR="00110BE5">
        <w:t xml:space="preserve">How inclusive is </w:t>
      </w:r>
      <w:r w:rsidR="003F618A">
        <w:t>the</w:t>
      </w:r>
      <w:r w:rsidR="00110BE5">
        <w:t xml:space="preserve"> educational experience</w:t>
      </w:r>
      <w:r w:rsidR="003F618A">
        <w:t xml:space="preserve"> you offer</w:t>
      </w:r>
      <w:r w:rsidR="00110BE5">
        <w:t>?</w:t>
      </w:r>
    </w:p>
    <w:p w14:paraId="61F798F8" w14:textId="77777777" w:rsidR="00110BE5" w:rsidRDefault="00110BE5" w:rsidP="00110BE5">
      <w:pPr>
        <w:ind w:left="720"/>
      </w:pPr>
      <w:r w:rsidRPr="00687845">
        <w:rPr>
          <w:i/>
          <w:iCs/>
        </w:rPr>
        <w:t>Inclusive learning and teaching in higher education refers to the ways in which pedagogy, curricula and assessment are designed and delivered to engage students in learning that is meaningful, relevant and accessible to all. It embraces a view of the individual and individual differences as the source of diversity that can enrich th</w:t>
      </w:r>
      <w:r>
        <w:rPr>
          <w:i/>
          <w:iCs/>
        </w:rPr>
        <w:t xml:space="preserve">e lives and learning of others </w:t>
      </w:r>
      <w:r w:rsidRPr="00687845">
        <w:rPr>
          <w:i/>
          <w:iCs/>
        </w:rPr>
        <w:t>(</w:t>
      </w:r>
      <w:hyperlink r:id="rId7" w:history="1">
        <w:r w:rsidRPr="00687845">
          <w:rPr>
            <w:rStyle w:val="Hyperlink"/>
            <w:i/>
            <w:iCs/>
          </w:rPr>
          <w:t>Hockings 2010, p. 1</w:t>
        </w:r>
      </w:hyperlink>
      <w:r w:rsidRPr="00687845">
        <w:rPr>
          <w:i/>
          <w:iCs/>
        </w:rPr>
        <w:t>).</w:t>
      </w:r>
    </w:p>
    <w:p w14:paraId="72B4540F" w14:textId="77777777" w:rsidR="00110BE5" w:rsidRDefault="00110BE5"/>
    <w:p w14:paraId="0B09A7DB" w14:textId="66C7087A" w:rsidR="00110BE5" w:rsidRDefault="00401745" w:rsidP="00401745">
      <w:pPr>
        <w:pStyle w:val="ListParagraph"/>
        <w:numPr>
          <w:ilvl w:val="0"/>
          <w:numId w:val="1"/>
        </w:numPr>
      </w:pPr>
      <w:r w:rsidRPr="00DC260F">
        <w:rPr>
          <w:b/>
        </w:rPr>
        <w:t>Do you know your students’ characteristics</w:t>
      </w:r>
      <w:r w:rsidR="00DC260F">
        <w:rPr>
          <w:b/>
        </w:rPr>
        <w:t xml:space="preserve">, and </w:t>
      </w:r>
      <w:r w:rsidR="003F618A">
        <w:rPr>
          <w:b/>
        </w:rPr>
        <w:t>how these may impact their learning</w:t>
      </w:r>
      <w:r w:rsidRPr="00DC260F">
        <w:rPr>
          <w:b/>
        </w:rPr>
        <w:t xml:space="preserve">? </w:t>
      </w:r>
      <w:r w:rsidR="003F618A">
        <w:t>Do you know their</w:t>
      </w:r>
      <w:r>
        <w:t xml:space="preserve"> </w:t>
      </w:r>
      <w:r w:rsidR="0029224E">
        <w:t xml:space="preserve">diversity profiles, which may be an intersection of one or more aspects, such as </w:t>
      </w:r>
      <w:r w:rsidR="00DC260F">
        <w:t xml:space="preserve">socio-economic status, </w:t>
      </w:r>
      <w:r w:rsidR="00AD74CB">
        <w:t xml:space="preserve">age </w:t>
      </w:r>
      <w:r w:rsidR="006F0DD8">
        <w:t>group</w:t>
      </w:r>
      <w:r w:rsidR="00DC260F">
        <w:t xml:space="preserve">, ethnicity, race, </w:t>
      </w:r>
      <w:r>
        <w:t>gender</w:t>
      </w:r>
      <w:r w:rsidR="00DC260F">
        <w:t>/sexuality</w:t>
      </w:r>
      <w:r>
        <w:t xml:space="preserve">, </w:t>
      </w:r>
      <w:r w:rsidR="00DC260F">
        <w:t xml:space="preserve">(dis)ability, rural/regional/metropolitan location, </w:t>
      </w:r>
      <w:r w:rsidR="0029224E">
        <w:t xml:space="preserve">and/or </w:t>
      </w:r>
      <w:r w:rsidR="00DC260F">
        <w:t>language</w:t>
      </w:r>
      <w:r w:rsidR="0029224E">
        <w:t>/cultural/religious</w:t>
      </w:r>
      <w:r w:rsidR="00DC260F">
        <w:t xml:space="preserve"> background? </w:t>
      </w:r>
      <w:hyperlink r:id="rId8" w:history="1">
        <w:r w:rsidR="00DC260F" w:rsidRPr="00DC260F">
          <w:rPr>
            <w:rStyle w:val="Hyperlink"/>
          </w:rPr>
          <w:t>Find out about your students.</w:t>
        </w:r>
      </w:hyperlink>
      <w:r w:rsidR="00DC260F">
        <w:br/>
      </w:r>
    </w:p>
    <w:p w14:paraId="0C793F53" w14:textId="5F31D28F" w:rsidR="00DC260F" w:rsidRDefault="003F618A" w:rsidP="00401745">
      <w:pPr>
        <w:pStyle w:val="ListParagraph"/>
        <w:numPr>
          <w:ilvl w:val="0"/>
          <w:numId w:val="1"/>
        </w:numPr>
      </w:pPr>
      <w:r w:rsidRPr="003F618A">
        <w:rPr>
          <w:b/>
        </w:rPr>
        <w:t>Are your learning resources and environments accessible for all students?</w:t>
      </w:r>
      <w:r>
        <w:t xml:space="preserve"> </w:t>
      </w:r>
      <w:r w:rsidR="00AD74CB">
        <w:t>Consider</w:t>
      </w:r>
      <w:r w:rsidR="006F0DD8">
        <w:t>ing your students’</w:t>
      </w:r>
      <w:r w:rsidR="00D47188">
        <w:t xml:space="preserve"> characteristics, c</w:t>
      </w:r>
      <w:r w:rsidR="006F0DD8">
        <w:t>ould any of them face difficulties using</w:t>
      </w:r>
      <w:r w:rsidR="00AD74CB">
        <w:t xml:space="preserve"> your o</w:t>
      </w:r>
      <w:r>
        <w:t xml:space="preserve">nline resources and physical </w:t>
      </w:r>
      <w:r w:rsidR="00AD74CB">
        <w:t xml:space="preserve">learning </w:t>
      </w:r>
      <w:r>
        <w:t>environments</w:t>
      </w:r>
      <w:r w:rsidR="006F0DD8">
        <w:t>?</w:t>
      </w:r>
      <w:r>
        <w:t xml:space="preserve"> </w:t>
      </w:r>
      <w:hyperlink r:id="rId9" w:history="1">
        <w:r w:rsidRPr="003F618A">
          <w:rPr>
            <w:rStyle w:val="Hyperlink"/>
          </w:rPr>
          <w:t>Find out about accessibility.</w:t>
        </w:r>
      </w:hyperlink>
      <w:r>
        <w:br/>
      </w:r>
    </w:p>
    <w:p w14:paraId="227F0090" w14:textId="75A41D7D" w:rsidR="003F618A" w:rsidRDefault="00AD74CB" w:rsidP="00401745">
      <w:pPr>
        <w:pStyle w:val="ListParagraph"/>
        <w:numPr>
          <w:ilvl w:val="0"/>
          <w:numId w:val="1"/>
        </w:numPr>
      </w:pPr>
      <w:r w:rsidRPr="004157AD">
        <w:rPr>
          <w:b/>
        </w:rPr>
        <w:t>Do you provide variety and flexibility in your range of learning resources and activities?</w:t>
      </w:r>
      <w:r>
        <w:t xml:space="preserve"> Can </w:t>
      </w:r>
      <w:r w:rsidR="004157AD">
        <w:t xml:space="preserve">your </w:t>
      </w:r>
      <w:r>
        <w:t xml:space="preserve">students </w:t>
      </w:r>
      <w:r w:rsidR="00895B0D">
        <w:t>experience different ways of learning</w:t>
      </w:r>
      <w:r w:rsidR="008D3653">
        <w:t>,</w:t>
      </w:r>
      <w:r w:rsidR="00895B0D">
        <w:t xml:space="preserve"> and </w:t>
      </w:r>
      <w:r>
        <w:t xml:space="preserve">choose </w:t>
      </w:r>
      <w:r w:rsidR="004157AD">
        <w:t xml:space="preserve">among </w:t>
      </w:r>
      <w:r w:rsidR="00861163">
        <w:t xml:space="preserve">a range of </w:t>
      </w:r>
      <w:r>
        <w:t xml:space="preserve">media </w:t>
      </w:r>
      <w:r w:rsidR="008D3653">
        <w:t>and areas of interest</w:t>
      </w:r>
      <w:r w:rsidR="004157AD">
        <w:t xml:space="preserve">? </w:t>
      </w:r>
      <w:hyperlink r:id="rId10" w:history="1">
        <w:r w:rsidR="0002534F" w:rsidRPr="0002534F">
          <w:rPr>
            <w:rStyle w:val="Hyperlink"/>
          </w:rPr>
          <w:t>Find out about Universal Design for Learning</w:t>
        </w:r>
      </w:hyperlink>
      <w:r w:rsidR="0002534F">
        <w:t>.</w:t>
      </w:r>
      <w:r w:rsidR="0002534F">
        <w:br/>
      </w:r>
    </w:p>
    <w:p w14:paraId="7D454AA2" w14:textId="77777777" w:rsidR="00476833" w:rsidRPr="00B17700" w:rsidRDefault="007803E3" w:rsidP="00401745">
      <w:pPr>
        <w:pStyle w:val="ListParagraph"/>
        <w:numPr>
          <w:ilvl w:val="0"/>
          <w:numId w:val="1"/>
        </w:numPr>
        <w:rPr>
          <w:b/>
        </w:rPr>
      </w:pPr>
      <w:r>
        <w:rPr>
          <w:b/>
        </w:rPr>
        <w:t>Do</w:t>
      </w:r>
      <w:r w:rsidR="00476833">
        <w:rPr>
          <w:b/>
        </w:rPr>
        <w:t xml:space="preserve"> your students see</w:t>
      </w:r>
      <w:r>
        <w:rPr>
          <w:b/>
        </w:rPr>
        <w:t xml:space="preserve"> a wide diversity of people </w:t>
      </w:r>
      <w:r w:rsidR="00365E79">
        <w:rPr>
          <w:b/>
        </w:rPr>
        <w:t>and perspectives represented</w:t>
      </w:r>
      <w:r w:rsidR="00476833">
        <w:rPr>
          <w:b/>
        </w:rPr>
        <w:t xml:space="preserve"> in the curriculum? </w:t>
      </w:r>
      <w:r w:rsidR="00322C78" w:rsidRPr="00B17700">
        <w:t>Can they</w:t>
      </w:r>
      <w:r w:rsidR="00322C78" w:rsidRPr="00B17700">
        <w:rPr>
          <w:b/>
        </w:rPr>
        <w:t xml:space="preserve"> </w:t>
      </w:r>
      <w:r w:rsidR="00B17700" w:rsidRPr="00B17700">
        <w:t xml:space="preserve">see themselves </w:t>
      </w:r>
      <w:r w:rsidR="00B17700">
        <w:t xml:space="preserve">and the diverse groups they belong to </w:t>
      </w:r>
      <w:r w:rsidR="00B17700" w:rsidRPr="00B17700">
        <w:t>reflected in the curriculum</w:t>
      </w:r>
      <w:r w:rsidR="00364755">
        <w:t xml:space="preserve"> as legitimate contributors to knowledge and members of society? </w:t>
      </w:r>
      <w:hyperlink r:id="rId11" w:history="1">
        <w:r w:rsidR="00364755" w:rsidRPr="00364755">
          <w:rPr>
            <w:rStyle w:val="Hyperlink"/>
          </w:rPr>
          <w:t>Find out about representing diversity in curriculum</w:t>
        </w:r>
      </w:hyperlink>
      <w:r w:rsidR="00364755">
        <w:t>.</w:t>
      </w:r>
      <w:r w:rsidR="00B17700" w:rsidRPr="00B17700">
        <w:t xml:space="preserve"> </w:t>
      </w:r>
    </w:p>
    <w:p w14:paraId="664D1D23" w14:textId="77777777" w:rsidR="00476833" w:rsidRPr="00476833" w:rsidRDefault="00476833" w:rsidP="00476833">
      <w:pPr>
        <w:pStyle w:val="ListParagraph"/>
        <w:ind w:left="360"/>
        <w:rPr>
          <w:b/>
        </w:rPr>
      </w:pPr>
    </w:p>
    <w:p w14:paraId="3763C452" w14:textId="65FCEC8A" w:rsidR="0002534F" w:rsidRPr="00BF29E6" w:rsidRDefault="00D47188" w:rsidP="00401745">
      <w:pPr>
        <w:pStyle w:val="ListParagraph"/>
        <w:numPr>
          <w:ilvl w:val="0"/>
          <w:numId w:val="1"/>
        </w:numPr>
        <w:rPr>
          <w:rStyle w:val="Hyperlink"/>
          <w:b/>
          <w:color w:val="auto"/>
          <w:u w:val="none"/>
        </w:rPr>
      </w:pPr>
      <w:r w:rsidRPr="000922DB">
        <w:rPr>
          <w:b/>
        </w:rPr>
        <w:t xml:space="preserve">Do you provide scaffolding activities and/or resources to help </w:t>
      </w:r>
      <w:r w:rsidR="007A0D01">
        <w:rPr>
          <w:b/>
        </w:rPr>
        <w:t xml:space="preserve">your </w:t>
      </w:r>
      <w:r w:rsidRPr="000922DB">
        <w:rPr>
          <w:b/>
        </w:rPr>
        <w:t>students build underpinning knowledge and skills</w:t>
      </w:r>
      <w:r w:rsidR="00247509">
        <w:rPr>
          <w:b/>
        </w:rPr>
        <w:t>?</w:t>
      </w:r>
      <w:r w:rsidR="00247509">
        <w:t xml:space="preserve"> </w:t>
      </w:r>
      <w:r w:rsidR="00BF29E6">
        <w:t xml:space="preserve">Do you </w:t>
      </w:r>
      <w:r w:rsidR="00861163">
        <w:t xml:space="preserve">strive </w:t>
      </w:r>
      <w:r w:rsidR="005E68EF">
        <w:t xml:space="preserve">to level the </w:t>
      </w:r>
      <w:r w:rsidR="00BF29E6">
        <w:t>field</w:t>
      </w:r>
      <w:r w:rsidR="005E68EF">
        <w:t xml:space="preserve"> for students who com</w:t>
      </w:r>
      <w:r w:rsidR="00BF29E6">
        <w:t>e from a variety of backgrounds?</w:t>
      </w:r>
      <w:r w:rsidR="007A0D01">
        <w:rPr>
          <w:b/>
        </w:rPr>
        <w:t xml:space="preserve"> </w:t>
      </w:r>
      <w:hyperlink r:id="rId12" w:history="1">
        <w:r w:rsidR="007A0D01" w:rsidRPr="00247509">
          <w:rPr>
            <w:rStyle w:val="Hyperlink"/>
          </w:rPr>
          <w:t>Find out about scaffolding learning.</w:t>
        </w:r>
      </w:hyperlink>
      <w:r w:rsidR="00BF29E6">
        <w:rPr>
          <w:rStyle w:val="Hyperlink"/>
        </w:rPr>
        <w:br/>
      </w:r>
    </w:p>
    <w:p w14:paraId="096F5A41" w14:textId="1F143D5F" w:rsidR="00BF29E6" w:rsidRPr="002B74D6" w:rsidRDefault="00BF29E6" w:rsidP="00401745">
      <w:pPr>
        <w:pStyle w:val="ListParagraph"/>
        <w:numPr>
          <w:ilvl w:val="0"/>
          <w:numId w:val="1"/>
        </w:numPr>
        <w:rPr>
          <w:b/>
        </w:rPr>
      </w:pPr>
      <w:r>
        <w:rPr>
          <w:b/>
        </w:rPr>
        <w:t xml:space="preserve">Is the learning community </w:t>
      </w:r>
      <w:r w:rsidR="0029224E">
        <w:rPr>
          <w:b/>
        </w:rPr>
        <w:t xml:space="preserve">you </w:t>
      </w:r>
      <w:r>
        <w:rPr>
          <w:b/>
        </w:rPr>
        <w:t xml:space="preserve">build in your units welcoming, supportive, respectful and vibrant? </w:t>
      </w:r>
      <w:r w:rsidR="002B74D6">
        <w:t xml:space="preserve">Do you foster respectful, engaging learning interactions with and between students? </w:t>
      </w:r>
      <w:hyperlink r:id="rId13" w:history="1">
        <w:r w:rsidR="002B74D6" w:rsidRPr="002B74D6">
          <w:rPr>
            <w:rStyle w:val="Hyperlink"/>
          </w:rPr>
          <w:t>Find out about building a community of learners.</w:t>
        </w:r>
      </w:hyperlink>
      <w:r w:rsidR="002B74D6">
        <w:br/>
      </w:r>
    </w:p>
    <w:p w14:paraId="0FE628A3" w14:textId="0C4042B4" w:rsidR="002B74D6" w:rsidRPr="001377CE" w:rsidRDefault="001377CE" w:rsidP="00401745">
      <w:pPr>
        <w:pStyle w:val="ListParagraph"/>
        <w:numPr>
          <w:ilvl w:val="0"/>
          <w:numId w:val="1"/>
        </w:numPr>
        <w:rPr>
          <w:b/>
        </w:rPr>
      </w:pPr>
      <w:r>
        <w:rPr>
          <w:b/>
        </w:rPr>
        <w:t xml:space="preserve">Are your assessments equitable for all students? </w:t>
      </w:r>
      <w:r>
        <w:t xml:space="preserve">Do you allow students scope to demonstrate their achievement of intended learning outcomes in diverse ways? </w:t>
      </w:r>
      <w:hyperlink r:id="rId14" w:history="1">
        <w:r w:rsidRPr="001377CE">
          <w:rPr>
            <w:rStyle w:val="Hyperlink"/>
          </w:rPr>
          <w:t>Find out about inclusive assessment.</w:t>
        </w:r>
      </w:hyperlink>
      <w:r>
        <w:br/>
      </w:r>
    </w:p>
    <w:p w14:paraId="0BB1B176" w14:textId="047F0702" w:rsidR="00202A4E" w:rsidRPr="00202A4E" w:rsidRDefault="00174CE9" w:rsidP="00202A4E">
      <w:pPr>
        <w:pStyle w:val="ListParagraph"/>
        <w:numPr>
          <w:ilvl w:val="0"/>
          <w:numId w:val="1"/>
        </w:numPr>
      </w:pPr>
      <w:r>
        <w:rPr>
          <w:b/>
        </w:rPr>
        <w:t xml:space="preserve">Does your feedback give students the information they need most about their progress? </w:t>
      </w:r>
      <w:r w:rsidRPr="00174CE9">
        <w:t xml:space="preserve">Do you </w:t>
      </w:r>
      <w:r>
        <w:t xml:space="preserve">make the most of opportunities to give </w:t>
      </w:r>
      <w:r w:rsidR="00100282">
        <w:t xml:space="preserve">timely, regular, </w:t>
      </w:r>
      <w:r>
        <w:t>personalised</w:t>
      </w:r>
      <w:r w:rsidR="00100282">
        <w:t xml:space="preserve"> and</w:t>
      </w:r>
      <w:r w:rsidR="00DD0372">
        <w:t xml:space="preserve"> </w:t>
      </w:r>
      <w:r>
        <w:t xml:space="preserve">targeted commentary on students’ work? </w:t>
      </w:r>
      <w:hyperlink r:id="rId15" w:history="1">
        <w:r w:rsidRPr="00174CE9">
          <w:rPr>
            <w:rStyle w:val="Hyperlink"/>
          </w:rPr>
          <w:t>Find out about giving effective feedback.</w:t>
        </w:r>
      </w:hyperlink>
      <w:r>
        <w:br/>
      </w:r>
    </w:p>
    <w:p w14:paraId="3AF1B0D8" w14:textId="6103B4A0" w:rsidR="00110BE5" w:rsidRDefault="00174CE9" w:rsidP="00202A4E">
      <w:pPr>
        <w:pStyle w:val="ListParagraph"/>
        <w:numPr>
          <w:ilvl w:val="0"/>
          <w:numId w:val="1"/>
        </w:numPr>
      </w:pPr>
      <w:r w:rsidRPr="00202A4E">
        <w:rPr>
          <w:b/>
        </w:rPr>
        <w:t xml:space="preserve">Is regular reflection on </w:t>
      </w:r>
      <w:r w:rsidR="00122D07" w:rsidRPr="00202A4E">
        <w:rPr>
          <w:b/>
        </w:rPr>
        <w:t xml:space="preserve">and evaluation of </w:t>
      </w:r>
      <w:r w:rsidRPr="00202A4E">
        <w:rPr>
          <w:b/>
        </w:rPr>
        <w:t xml:space="preserve">your educational practices built into your schedule, and does this </w:t>
      </w:r>
      <w:r w:rsidR="00DE0B1C" w:rsidRPr="00202A4E">
        <w:rPr>
          <w:b/>
        </w:rPr>
        <w:t xml:space="preserve">specifically </w:t>
      </w:r>
      <w:r w:rsidRPr="00202A4E">
        <w:rPr>
          <w:b/>
        </w:rPr>
        <w:t xml:space="preserve">include considering the inclusiveness of your strategies? </w:t>
      </w:r>
      <w:r w:rsidR="00DE0B1C" w:rsidRPr="00DE0B1C">
        <w:t>Do you seek feedback from students and</w:t>
      </w:r>
      <w:r w:rsidR="00DE0B1C">
        <w:t>/or</w:t>
      </w:r>
      <w:r w:rsidR="00DE0B1C" w:rsidRPr="00DE0B1C">
        <w:t xml:space="preserve"> peers </w:t>
      </w:r>
      <w:r w:rsidR="00DE0B1C">
        <w:t xml:space="preserve">for alternative perspectives? </w:t>
      </w:r>
      <w:hyperlink r:id="rId16" w:history="1">
        <w:r w:rsidR="00DE0B1C" w:rsidRPr="00DE0B1C">
          <w:rPr>
            <w:rStyle w:val="Hyperlink"/>
          </w:rPr>
          <w:t>Find out about reflecting on practice</w:t>
        </w:r>
      </w:hyperlink>
      <w:r w:rsidR="0071666F">
        <w:t xml:space="preserve"> (see pages 24-25).</w:t>
      </w:r>
    </w:p>
    <w:sectPr w:rsidR="00110BE5" w:rsidSect="005B53AF">
      <w:headerReference w:type="defaul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927B" w14:textId="77777777" w:rsidR="000D11E8" w:rsidRDefault="000D11E8" w:rsidP="00110BE5">
      <w:pPr>
        <w:spacing w:after="0" w:line="240" w:lineRule="auto"/>
      </w:pPr>
      <w:r>
        <w:separator/>
      </w:r>
    </w:p>
  </w:endnote>
  <w:endnote w:type="continuationSeparator" w:id="0">
    <w:p w14:paraId="0A5ADEDC" w14:textId="77777777" w:rsidR="000D11E8" w:rsidRDefault="000D11E8" w:rsidP="0011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647A" w14:textId="77777777" w:rsidR="000D11E8" w:rsidRDefault="000D11E8" w:rsidP="00110BE5">
      <w:pPr>
        <w:spacing w:after="0" w:line="240" w:lineRule="auto"/>
      </w:pPr>
      <w:r>
        <w:separator/>
      </w:r>
    </w:p>
  </w:footnote>
  <w:footnote w:type="continuationSeparator" w:id="0">
    <w:p w14:paraId="71B8D490" w14:textId="77777777" w:rsidR="000D11E8" w:rsidRDefault="000D11E8" w:rsidP="0011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2C27" w14:textId="0FCD1505" w:rsidR="00110BE5" w:rsidRPr="00810D9A" w:rsidRDefault="00110BE5">
    <w:pPr>
      <w:pStyle w:val="Header"/>
      <w:rPr>
        <w:sz w:val="20"/>
        <w:szCs w:val="20"/>
      </w:rPr>
    </w:pPr>
    <w:r w:rsidRPr="00810D9A">
      <w:rPr>
        <w:sz w:val="20"/>
        <w:szCs w:val="20"/>
      </w:rPr>
      <w:ptab w:relativeTo="margin" w:alignment="center" w:leader="none"/>
    </w:r>
    <w:r w:rsidRPr="00810D9A">
      <w:rPr>
        <w:sz w:val="20"/>
        <w:szCs w:val="20"/>
      </w:rPr>
      <w:ptab w:relativeTo="margin" w:alignment="right" w:leader="none"/>
    </w:r>
    <w:r w:rsidR="00810D9A" w:rsidRPr="00810D9A">
      <w:rPr>
        <w:sz w:val="20"/>
        <w:szCs w:val="20"/>
      </w:rPr>
      <w:t xml:space="preserve">Updated: </w:t>
    </w:r>
    <w:r w:rsidR="00810D9A" w:rsidRPr="00810D9A">
      <w:rPr>
        <w:sz w:val="20"/>
        <w:szCs w:val="20"/>
      </w:rPr>
      <w:t>7 October</w:t>
    </w:r>
    <w:r w:rsidR="004B3F5C" w:rsidRPr="00810D9A">
      <w:rPr>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B2AED"/>
    <w:multiLevelType w:val="hybridMultilevel"/>
    <w:tmpl w:val="910ABBF8"/>
    <w:lvl w:ilvl="0" w:tplc="F9549E3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E5"/>
    <w:rsid w:val="00004C65"/>
    <w:rsid w:val="0002534F"/>
    <w:rsid w:val="0002611D"/>
    <w:rsid w:val="00045FFF"/>
    <w:rsid w:val="0009148D"/>
    <w:rsid w:val="000922DB"/>
    <w:rsid w:val="000D11E8"/>
    <w:rsid w:val="00100282"/>
    <w:rsid w:val="00110BE5"/>
    <w:rsid w:val="00122D07"/>
    <w:rsid w:val="001377CE"/>
    <w:rsid w:val="00174CE9"/>
    <w:rsid w:val="00202A4E"/>
    <w:rsid w:val="00247509"/>
    <w:rsid w:val="00281792"/>
    <w:rsid w:val="0029224E"/>
    <w:rsid w:val="002B74D6"/>
    <w:rsid w:val="002E0DCD"/>
    <w:rsid w:val="00322C78"/>
    <w:rsid w:val="00364755"/>
    <w:rsid w:val="00365E79"/>
    <w:rsid w:val="00371832"/>
    <w:rsid w:val="003A1DA6"/>
    <w:rsid w:val="003F618A"/>
    <w:rsid w:val="00401745"/>
    <w:rsid w:val="00415640"/>
    <w:rsid w:val="004157AD"/>
    <w:rsid w:val="00476833"/>
    <w:rsid w:val="004B3F5C"/>
    <w:rsid w:val="00536CCB"/>
    <w:rsid w:val="005B53AF"/>
    <w:rsid w:val="005E68EF"/>
    <w:rsid w:val="00600ABF"/>
    <w:rsid w:val="006B7E3E"/>
    <w:rsid w:val="006F0DD8"/>
    <w:rsid w:val="0071666F"/>
    <w:rsid w:val="007803E3"/>
    <w:rsid w:val="00797C2E"/>
    <w:rsid w:val="007A0D01"/>
    <w:rsid w:val="00810D9A"/>
    <w:rsid w:val="00861163"/>
    <w:rsid w:val="00895B0D"/>
    <w:rsid w:val="008D3653"/>
    <w:rsid w:val="009023BA"/>
    <w:rsid w:val="0094043C"/>
    <w:rsid w:val="00A329AF"/>
    <w:rsid w:val="00A67437"/>
    <w:rsid w:val="00A76F6F"/>
    <w:rsid w:val="00AD74CB"/>
    <w:rsid w:val="00B17700"/>
    <w:rsid w:val="00B570F1"/>
    <w:rsid w:val="00B67AE3"/>
    <w:rsid w:val="00BB322B"/>
    <w:rsid w:val="00BF29E6"/>
    <w:rsid w:val="00BF360C"/>
    <w:rsid w:val="00C323B8"/>
    <w:rsid w:val="00C45487"/>
    <w:rsid w:val="00CC5F02"/>
    <w:rsid w:val="00CD3F41"/>
    <w:rsid w:val="00CD73D7"/>
    <w:rsid w:val="00D47188"/>
    <w:rsid w:val="00DC260F"/>
    <w:rsid w:val="00DD0372"/>
    <w:rsid w:val="00DE0B1C"/>
    <w:rsid w:val="00EC48C4"/>
    <w:rsid w:val="00F33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BCFF"/>
  <w15:chartTrackingRefBased/>
  <w15:docId w15:val="{65B94DA2-D602-4A5A-BDD2-0A996DC9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AF"/>
  </w:style>
  <w:style w:type="paragraph" w:styleId="Heading1">
    <w:name w:val="heading 1"/>
    <w:basedOn w:val="Normal"/>
    <w:next w:val="Normal"/>
    <w:link w:val="Heading1Char"/>
    <w:uiPriority w:val="9"/>
    <w:qFormat/>
    <w:rsid w:val="00110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BE5"/>
    <w:rPr>
      <w:color w:val="0563C1" w:themeColor="hyperlink"/>
      <w:u w:val="single"/>
    </w:rPr>
  </w:style>
  <w:style w:type="character" w:customStyle="1" w:styleId="Heading1Char">
    <w:name w:val="Heading 1 Char"/>
    <w:basedOn w:val="DefaultParagraphFont"/>
    <w:link w:val="Heading1"/>
    <w:uiPriority w:val="9"/>
    <w:rsid w:val="00110B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E5"/>
  </w:style>
  <w:style w:type="paragraph" w:styleId="Footer">
    <w:name w:val="footer"/>
    <w:basedOn w:val="Normal"/>
    <w:link w:val="FooterChar"/>
    <w:uiPriority w:val="99"/>
    <w:unhideWhenUsed/>
    <w:rsid w:val="0011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E5"/>
  </w:style>
  <w:style w:type="paragraph" w:styleId="ListParagraph">
    <w:name w:val="List Paragraph"/>
    <w:basedOn w:val="Normal"/>
    <w:uiPriority w:val="34"/>
    <w:qFormat/>
    <w:rsid w:val="00401745"/>
    <w:pPr>
      <w:ind w:left="720"/>
      <w:contextualSpacing/>
    </w:pPr>
  </w:style>
  <w:style w:type="paragraph" w:styleId="BalloonText">
    <w:name w:val="Balloon Text"/>
    <w:basedOn w:val="Normal"/>
    <w:link w:val="BalloonTextChar"/>
    <w:uiPriority w:val="99"/>
    <w:semiHidden/>
    <w:unhideWhenUsed/>
    <w:rsid w:val="0086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3"/>
    <w:rPr>
      <w:rFonts w:ascii="Segoe UI" w:hAnsi="Segoe UI" w:cs="Segoe UI"/>
      <w:sz w:val="18"/>
      <w:szCs w:val="18"/>
    </w:rPr>
  </w:style>
  <w:style w:type="character" w:styleId="FollowedHyperlink">
    <w:name w:val="FollowedHyperlink"/>
    <w:basedOn w:val="DefaultParagraphFont"/>
    <w:uiPriority w:val="99"/>
    <w:semiHidden/>
    <w:unhideWhenUsed/>
    <w:rsid w:val="0036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deakin.edu.au/iccb/toolkit/who/teaching-diverse-learners/" TargetMode="External"/><Relationship Id="rId13" Type="http://schemas.openxmlformats.org/officeDocument/2006/relationships/hyperlink" Target="https://blogs.deakin.edu.au/iccb/toolkit/how/get-to-kn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cademy.ac.uk/system/files/inclusive_teaching_and_learning_in_he_synthesis_200410_0.pdf" TargetMode="External"/><Relationship Id="rId12" Type="http://schemas.openxmlformats.org/officeDocument/2006/relationships/hyperlink" Target="https://blogs.deakin.edu.au/iccb/toolkit/how/scaffold-student-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wses.edu.au/assets/Practical%20Advice%20for%20Teaching%20Staf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staff/teaching-academy/documents/public/lgbt-best-practice-guide.pdf" TargetMode="External"/><Relationship Id="rId5" Type="http://schemas.openxmlformats.org/officeDocument/2006/relationships/footnotes" Target="footnotes.xml"/><Relationship Id="rId15" Type="http://schemas.openxmlformats.org/officeDocument/2006/relationships/hyperlink" Target="https://blogs.deakin.edu.au/iccb/toolkit/how/give-effective-feedback/" TargetMode="External"/><Relationship Id="rId10" Type="http://schemas.openxmlformats.org/officeDocument/2006/relationships/hyperlink" Target="https://blogs.deakin.edu.au/iccb/toolkit/what-and-w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deakin.edu.au/iccb/toolkit/how/create-accessible-content/" TargetMode="External"/><Relationship Id="rId14" Type="http://schemas.openxmlformats.org/officeDocument/2006/relationships/hyperlink" Target="https://blogs.deakin.edu.au/iccb/toolkit/how/make-assessment-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Karen Lake</cp:lastModifiedBy>
  <cp:revision>3</cp:revision>
  <dcterms:created xsi:type="dcterms:W3CDTF">2020-10-07T02:57:00Z</dcterms:created>
  <dcterms:modified xsi:type="dcterms:W3CDTF">2020-10-07T02:58:00Z</dcterms:modified>
</cp:coreProperties>
</file>