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45" w:rsidRDefault="00B41056" w:rsidP="00B41056">
      <w:pPr>
        <w:pStyle w:val="Heading1"/>
      </w:pPr>
      <w:r>
        <w:t>The Ward-Gale Model for LGBTQ-inclusivity in higher education</w:t>
      </w:r>
    </w:p>
    <w:p w:rsidR="00B41056" w:rsidRDefault="00B41056"/>
    <w:p w:rsidR="00B41056" w:rsidRDefault="00B41056" w:rsidP="00B41056">
      <w:pPr>
        <w:pStyle w:val="Heading2"/>
        <w:spacing w:after="240"/>
      </w:pPr>
      <w:r>
        <w:t>Domains of inclusivity</w:t>
      </w:r>
    </w:p>
    <w:p w:rsidR="00B41056" w:rsidRDefault="00B41056" w:rsidP="00B41056">
      <w:pPr>
        <w:pStyle w:val="Heading3"/>
        <w:spacing w:after="80"/>
      </w:pPr>
      <w:r>
        <w:t>Language</w:t>
      </w:r>
    </w:p>
    <w:p w:rsidR="00B41056" w:rsidRPr="00B41056" w:rsidRDefault="00B41056" w:rsidP="00776F8F">
      <w:pPr>
        <w:tabs>
          <w:tab w:val="left" w:pos="2410"/>
        </w:tabs>
        <w:rPr>
          <w:b/>
        </w:rPr>
      </w:pPr>
      <w:r w:rsidRPr="00B41056">
        <w:rPr>
          <w:b/>
        </w:rPr>
        <w:t>Levels of inclusivity</w:t>
      </w:r>
    </w:p>
    <w:p w:rsidR="00B41056" w:rsidRDefault="00B41056" w:rsidP="00776F8F">
      <w:pPr>
        <w:tabs>
          <w:tab w:val="left" w:pos="2410"/>
        </w:tabs>
      </w:pPr>
      <w:r>
        <w:t xml:space="preserve">Increasing awareness: </w:t>
      </w:r>
      <w:r>
        <w:tab/>
      </w:r>
      <w:r w:rsidRPr="00B41056">
        <w:t>Avoiding abusive and</w:t>
      </w:r>
      <w:r>
        <w:t xml:space="preserve"> </w:t>
      </w:r>
      <w:r w:rsidRPr="00B41056">
        <w:t>discriminatory language</w:t>
      </w:r>
    </w:p>
    <w:p w:rsidR="00B41056" w:rsidRDefault="00B41056" w:rsidP="00776F8F">
      <w:pPr>
        <w:tabs>
          <w:tab w:val="left" w:pos="2410"/>
        </w:tabs>
      </w:pPr>
      <w:r>
        <w:t xml:space="preserve">Additive approaches: </w:t>
      </w:r>
      <w:r>
        <w:tab/>
        <w:t>Avoiding hetero-normative and cis-normative language</w:t>
      </w:r>
    </w:p>
    <w:p w:rsidR="00B41056" w:rsidRDefault="00B41056" w:rsidP="00776F8F">
      <w:pPr>
        <w:tabs>
          <w:tab w:val="left" w:pos="2410"/>
        </w:tabs>
        <w:spacing w:after="240"/>
      </w:pPr>
      <w:r>
        <w:t xml:space="preserve">Transformative practice: </w:t>
      </w:r>
      <w:r>
        <w:tab/>
        <w:t>Critical engagement with queer/trans inclusive language</w:t>
      </w:r>
    </w:p>
    <w:p w:rsidR="00B41056" w:rsidRDefault="00B41056" w:rsidP="00776F8F">
      <w:pPr>
        <w:pStyle w:val="Heading3"/>
        <w:tabs>
          <w:tab w:val="left" w:pos="2410"/>
        </w:tabs>
        <w:spacing w:after="80"/>
      </w:pPr>
      <w:r>
        <w:t>Role models</w:t>
      </w:r>
    </w:p>
    <w:p w:rsidR="00B41056" w:rsidRDefault="00B41056" w:rsidP="00776F8F">
      <w:pPr>
        <w:tabs>
          <w:tab w:val="left" w:pos="2410"/>
        </w:tabs>
      </w:pPr>
      <w:r w:rsidRPr="00B41056">
        <w:rPr>
          <w:b/>
        </w:rPr>
        <w:t>Levels of inclusivity</w:t>
      </w:r>
      <w:r>
        <w:t xml:space="preserve"> </w:t>
      </w:r>
    </w:p>
    <w:p w:rsidR="00B41056" w:rsidRDefault="00B41056" w:rsidP="00776F8F">
      <w:pPr>
        <w:tabs>
          <w:tab w:val="left" w:pos="2410"/>
        </w:tabs>
      </w:pPr>
      <w:r>
        <w:t xml:space="preserve">Increasing awareness: </w:t>
      </w:r>
      <w:r>
        <w:tab/>
      </w:r>
      <w:r>
        <w:t>Signposting to LGBTQ organisations and events</w:t>
      </w:r>
    </w:p>
    <w:p w:rsidR="00B41056" w:rsidRDefault="00B41056" w:rsidP="00776F8F">
      <w:pPr>
        <w:tabs>
          <w:tab w:val="left" w:pos="2410"/>
        </w:tabs>
      </w:pPr>
      <w:r>
        <w:t xml:space="preserve">Additive approaches: </w:t>
      </w:r>
      <w:r>
        <w:tab/>
      </w:r>
      <w:r>
        <w:t>Access to mentors for LGBTQ-identified students</w:t>
      </w:r>
    </w:p>
    <w:p w:rsidR="00B41056" w:rsidRDefault="00B41056" w:rsidP="00776F8F">
      <w:pPr>
        <w:tabs>
          <w:tab w:val="left" w:pos="2410"/>
        </w:tabs>
        <w:spacing w:after="240"/>
      </w:pPr>
      <w:r>
        <w:t xml:space="preserve">Transformative practice: </w:t>
      </w:r>
      <w:r>
        <w:tab/>
      </w:r>
      <w:r>
        <w:t>Role models and allies in the teaching and learning environment</w:t>
      </w:r>
    </w:p>
    <w:p w:rsidR="00B41056" w:rsidRDefault="00B41056" w:rsidP="00776F8F">
      <w:pPr>
        <w:pStyle w:val="Heading3"/>
        <w:tabs>
          <w:tab w:val="left" w:pos="2410"/>
        </w:tabs>
        <w:spacing w:after="80"/>
      </w:pPr>
      <w:r>
        <w:t>Curriculum content</w:t>
      </w:r>
    </w:p>
    <w:p w:rsidR="00B41056" w:rsidRDefault="00B41056" w:rsidP="00776F8F">
      <w:pPr>
        <w:tabs>
          <w:tab w:val="left" w:pos="2410"/>
        </w:tabs>
      </w:pPr>
      <w:r w:rsidRPr="00B41056">
        <w:rPr>
          <w:b/>
        </w:rPr>
        <w:t>Levels of inclusivity</w:t>
      </w:r>
      <w:r>
        <w:t xml:space="preserve"> </w:t>
      </w:r>
    </w:p>
    <w:p w:rsidR="00B41056" w:rsidRDefault="00B41056" w:rsidP="00776F8F">
      <w:pPr>
        <w:tabs>
          <w:tab w:val="left" w:pos="2410"/>
        </w:tabs>
      </w:pPr>
      <w:r>
        <w:t xml:space="preserve">Increasing awareness: </w:t>
      </w:r>
      <w:r>
        <w:tab/>
      </w:r>
      <w:r>
        <w:t>Basic acknowledgement of gender and sexual diversity</w:t>
      </w:r>
    </w:p>
    <w:p w:rsidR="00B41056" w:rsidRDefault="00B41056" w:rsidP="00776F8F">
      <w:pPr>
        <w:tabs>
          <w:tab w:val="left" w:pos="2410"/>
        </w:tabs>
      </w:pPr>
      <w:r>
        <w:t xml:space="preserve">Additive approaches: </w:t>
      </w:r>
      <w:r>
        <w:tab/>
      </w:r>
      <w:r>
        <w:t>Inclusion of topics, themes and readings about LGBTQ identities</w:t>
      </w:r>
    </w:p>
    <w:p w:rsidR="00B41056" w:rsidRDefault="00B41056" w:rsidP="00776F8F">
      <w:pPr>
        <w:tabs>
          <w:tab w:val="left" w:pos="2410"/>
        </w:tabs>
      </w:pPr>
      <w:r>
        <w:t xml:space="preserve">Transformative practice: </w:t>
      </w:r>
      <w:r>
        <w:tab/>
      </w:r>
      <w:r>
        <w:t xml:space="preserve">Critical approaches to pedagogy, supporting social engagement and </w:t>
      </w:r>
      <w:r>
        <w:tab/>
        <w:t>action/inclusive professional practice</w:t>
      </w:r>
    </w:p>
    <w:p w:rsidR="00B41056" w:rsidRDefault="00B41056" w:rsidP="00B41056">
      <w:pPr>
        <w:tabs>
          <w:tab w:val="left" w:pos="2268"/>
        </w:tabs>
      </w:pPr>
    </w:p>
    <w:p w:rsidR="00B41056" w:rsidRDefault="00B41056" w:rsidP="00B41056">
      <w:pPr>
        <w:tabs>
          <w:tab w:val="left" w:pos="2268"/>
        </w:tabs>
      </w:pPr>
    </w:p>
    <w:p w:rsidR="00B41056" w:rsidRDefault="00776F8F" w:rsidP="00B41056">
      <w:pPr>
        <w:tabs>
          <w:tab w:val="left" w:pos="2268"/>
        </w:tabs>
      </w:pPr>
      <w:r>
        <w:t>(</w:t>
      </w:r>
      <w:hyperlink r:id="rId4" w:history="1">
        <w:r>
          <w:rPr>
            <w:rStyle w:val="Hyperlink"/>
          </w:rPr>
          <w:t xml:space="preserve">Ward </w:t>
        </w:r>
        <w:r>
          <w:rPr>
            <w:rStyle w:val="Hyperlink"/>
          </w:rPr>
          <w:t>&amp;</w:t>
        </w:r>
        <w:bookmarkStart w:id="0" w:name="_GoBack"/>
        <w:bookmarkEnd w:id="0"/>
        <w:r>
          <w:rPr>
            <w:rStyle w:val="Hyperlink"/>
          </w:rPr>
          <w:t xml:space="preserve"> Gale 2016, p. 10</w:t>
        </w:r>
      </w:hyperlink>
      <w:r>
        <w:t>)</w:t>
      </w:r>
    </w:p>
    <w:p w:rsidR="00B41056" w:rsidRDefault="00B41056" w:rsidP="00B41056"/>
    <w:p w:rsidR="00B41056" w:rsidRDefault="00B41056" w:rsidP="00B41056"/>
    <w:p w:rsidR="00B41056" w:rsidRDefault="00B41056" w:rsidP="00B41056"/>
    <w:p w:rsidR="00B41056" w:rsidRDefault="00B41056" w:rsidP="00B41056"/>
    <w:p w:rsidR="00B41056" w:rsidRDefault="00B41056" w:rsidP="00B41056"/>
    <w:p w:rsidR="00B41056" w:rsidRDefault="00B41056" w:rsidP="00B41056"/>
    <w:p w:rsidR="00B41056" w:rsidRDefault="00B41056" w:rsidP="00B41056"/>
    <w:p w:rsidR="00B41056" w:rsidRDefault="00B41056" w:rsidP="00B41056"/>
    <w:p w:rsidR="00B41056" w:rsidRDefault="00B41056" w:rsidP="00B41056"/>
    <w:p w:rsidR="00B41056" w:rsidRDefault="00B41056" w:rsidP="00B41056"/>
    <w:p w:rsidR="00B41056" w:rsidRDefault="00B41056" w:rsidP="00B41056">
      <w:r w:rsidRPr="00B41056">
        <w:t>Signposting to LGBTQ</w:t>
      </w:r>
      <w:r>
        <w:t xml:space="preserve"> </w:t>
      </w:r>
      <w:r w:rsidRPr="00B41056">
        <w:t>organisations and events</w:t>
      </w:r>
    </w:p>
    <w:sectPr w:rsidR="00B41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56"/>
    <w:rsid w:val="00734E48"/>
    <w:rsid w:val="00776F8F"/>
    <w:rsid w:val="00793639"/>
    <w:rsid w:val="009C2775"/>
    <w:rsid w:val="00B41056"/>
    <w:rsid w:val="00BA3564"/>
    <w:rsid w:val="00BF17FC"/>
    <w:rsid w:val="00E6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F9FAB-513A-4747-B1A0-51E6D73D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7FC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F17FC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7FC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7FC"/>
    <w:pPr>
      <w:keepNext/>
      <w:keepLines/>
      <w:spacing w:before="40"/>
      <w:outlineLvl w:val="2"/>
    </w:pPr>
    <w:rPr>
      <w:rFonts w:ascii="Arial" w:eastAsiaTheme="majorEastAsia" w:hAnsi="Arial" w:cstheme="majorBidi"/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17FC"/>
    <w:rPr>
      <w:rFonts w:ascii="Arial" w:eastAsiaTheme="majorEastAsia" w:hAnsi="Arial" w:cstheme="majorBidi"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17FC"/>
    <w:rPr>
      <w:rFonts w:ascii="Arial" w:eastAsiaTheme="majorEastAsia" w:hAnsi="Arial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F17FC"/>
    <w:rPr>
      <w:rFonts w:ascii="Arial" w:eastAsiaTheme="majorEastAsia" w:hAnsi="Arial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76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ranet.birmingham.ac.uk/staff/teaching-academy/documents/public/lgbt-best-practice-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Watson</dc:creator>
  <cp:keywords/>
  <dc:description/>
  <cp:lastModifiedBy>Janet Watson</cp:lastModifiedBy>
  <cp:revision>1</cp:revision>
  <dcterms:created xsi:type="dcterms:W3CDTF">2019-04-01T00:11:00Z</dcterms:created>
  <dcterms:modified xsi:type="dcterms:W3CDTF">2019-04-01T00:23:00Z</dcterms:modified>
</cp:coreProperties>
</file>