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640"/>
        <w:gridCol w:w="3640"/>
        <w:gridCol w:w="3640"/>
        <w:gridCol w:w="3640"/>
      </w:tblGrid>
      <w:tr w:rsidR="00DF286A" w:rsidTr="00DF286A">
        <w:trPr>
          <w:trHeight w:val="416"/>
        </w:trPr>
        <w:tc>
          <w:tcPr>
            <w:tcW w:w="1250" w:type="pct"/>
            <w:tcBorders>
              <w:top w:val="single" w:sz="4" w:space="0" w:color="auto"/>
              <w:left w:val="single" w:sz="4" w:space="0" w:color="auto"/>
              <w:bottom w:val="single" w:sz="4" w:space="0" w:color="auto"/>
              <w:right w:val="nil"/>
            </w:tcBorders>
          </w:tcPr>
          <w:p w:rsidR="00DF286A" w:rsidRPr="003519B3" w:rsidRDefault="003519B3" w:rsidP="003519B3">
            <w:pPr>
              <w:spacing w:before="120" w:after="120"/>
              <w:rPr>
                <w:rFonts w:ascii="Calibri Light" w:hAnsi="Calibri Light" w:cstheme="minorHAnsi"/>
                <w:b/>
                <w:color w:val="365F91" w:themeColor="accent1" w:themeShade="BF"/>
                <w:sz w:val="32"/>
                <w:szCs w:val="32"/>
              </w:rPr>
            </w:pPr>
            <w:r w:rsidRPr="003519B3">
              <w:rPr>
                <w:rFonts w:ascii="Calibri Light" w:hAnsi="Calibri Light" w:cstheme="minorHAnsi"/>
                <w:b/>
                <w:color w:val="365F91" w:themeColor="accent1" w:themeShade="BF"/>
                <w:sz w:val="32"/>
                <w:szCs w:val="32"/>
              </w:rPr>
              <w:t>STRENGTHS</w:t>
            </w:r>
          </w:p>
        </w:tc>
        <w:tc>
          <w:tcPr>
            <w:tcW w:w="1250" w:type="pct"/>
            <w:tcBorders>
              <w:left w:val="nil"/>
              <w:right w:val="nil"/>
            </w:tcBorders>
          </w:tcPr>
          <w:p w:rsidR="00DF286A" w:rsidRDefault="00DF286A"/>
        </w:tc>
        <w:tc>
          <w:tcPr>
            <w:tcW w:w="1250" w:type="pct"/>
            <w:tcBorders>
              <w:left w:val="nil"/>
              <w:right w:val="nil"/>
            </w:tcBorders>
          </w:tcPr>
          <w:p w:rsidR="00DF286A" w:rsidRDefault="00DF286A"/>
        </w:tc>
        <w:tc>
          <w:tcPr>
            <w:tcW w:w="1250" w:type="pct"/>
            <w:tcBorders>
              <w:left w:val="nil"/>
            </w:tcBorders>
          </w:tcPr>
          <w:p w:rsidR="00DF286A" w:rsidRDefault="00DF286A"/>
        </w:tc>
      </w:tr>
      <w:tr w:rsidR="00DF286A" w:rsidTr="00DF286A">
        <w:tc>
          <w:tcPr>
            <w:tcW w:w="1250" w:type="pct"/>
            <w:tcBorders>
              <w:top w:val="single" w:sz="4" w:space="0" w:color="auto"/>
            </w:tcBorders>
          </w:tcPr>
          <w:p w:rsidR="00DF286A" w:rsidRPr="003519B3" w:rsidRDefault="00DF286A" w:rsidP="003519B3">
            <w:pPr>
              <w:pStyle w:val="Heading3"/>
              <w:jc w:val="center"/>
              <w:rPr>
                <w:rFonts w:ascii="Calibri Light" w:hAnsi="Calibri Light"/>
                <w:b/>
              </w:rPr>
            </w:pPr>
            <w:r w:rsidRPr="003519B3">
              <w:rPr>
                <w:rFonts w:ascii="Calibri Light" w:hAnsi="Calibri Light"/>
                <w:b/>
              </w:rPr>
              <w:t>Project Team comments/suggestions</w:t>
            </w:r>
          </w:p>
        </w:tc>
        <w:tc>
          <w:tcPr>
            <w:tcW w:w="1250" w:type="pct"/>
          </w:tcPr>
          <w:p w:rsidR="00DF286A" w:rsidRPr="003519B3" w:rsidRDefault="00DF286A" w:rsidP="003519B3">
            <w:pPr>
              <w:pStyle w:val="Heading3"/>
              <w:spacing w:before="240"/>
              <w:jc w:val="center"/>
              <w:rPr>
                <w:rFonts w:ascii="Calibri Light" w:hAnsi="Calibri Light"/>
                <w:b/>
              </w:rPr>
            </w:pPr>
            <w:r w:rsidRPr="003519B3">
              <w:rPr>
                <w:rFonts w:ascii="Calibri Light" w:hAnsi="Calibri Light"/>
                <w:b/>
              </w:rPr>
              <w:t>UDL Review</w:t>
            </w:r>
          </w:p>
        </w:tc>
        <w:tc>
          <w:tcPr>
            <w:tcW w:w="1250" w:type="pct"/>
          </w:tcPr>
          <w:p w:rsidR="00DF286A" w:rsidRPr="003519B3" w:rsidRDefault="00DF286A" w:rsidP="003519B3">
            <w:pPr>
              <w:pStyle w:val="Heading3"/>
              <w:spacing w:before="240"/>
              <w:jc w:val="center"/>
              <w:rPr>
                <w:rFonts w:ascii="Calibri Light" w:hAnsi="Calibri Light"/>
                <w:b/>
              </w:rPr>
            </w:pPr>
            <w:r w:rsidRPr="003519B3">
              <w:rPr>
                <w:rFonts w:ascii="Calibri Light" w:hAnsi="Calibri Light"/>
                <w:b/>
              </w:rPr>
              <w:t>HEA Guidelines</w:t>
            </w:r>
            <w:r w:rsidRPr="003519B3">
              <w:rPr>
                <w:rStyle w:val="FootnoteReference"/>
                <w:rFonts w:ascii="Calibri Light" w:hAnsi="Calibri Light"/>
                <w:b/>
              </w:rPr>
              <w:footnoteReference w:id="1"/>
            </w:r>
          </w:p>
        </w:tc>
        <w:tc>
          <w:tcPr>
            <w:tcW w:w="1250" w:type="pct"/>
          </w:tcPr>
          <w:p w:rsidR="00DF286A" w:rsidRPr="003519B3" w:rsidRDefault="00DF286A" w:rsidP="003519B3">
            <w:pPr>
              <w:pStyle w:val="Heading2"/>
              <w:spacing w:before="240"/>
              <w:jc w:val="center"/>
              <w:rPr>
                <w:rFonts w:ascii="Calibri Light" w:hAnsi="Calibri Light"/>
                <w:b/>
                <w:color w:val="243F60" w:themeColor="accent1" w:themeShade="7F"/>
                <w:sz w:val="24"/>
                <w:szCs w:val="24"/>
              </w:rPr>
            </w:pPr>
            <w:r w:rsidRPr="003519B3">
              <w:rPr>
                <w:rFonts w:ascii="Calibri Light" w:hAnsi="Calibri Light"/>
                <w:b/>
                <w:color w:val="243F60" w:themeColor="accent1" w:themeShade="7F"/>
                <w:sz w:val="24"/>
                <w:szCs w:val="24"/>
              </w:rPr>
              <w:t>Unit Chair Response</w:t>
            </w:r>
          </w:p>
        </w:tc>
      </w:tr>
      <w:tr w:rsidR="00DF286A" w:rsidTr="00DF286A">
        <w:tc>
          <w:tcPr>
            <w:tcW w:w="1250" w:type="pct"/>
          </w:tcPr>
          <w:p w:rsidR="00DF286A" w:rsidRDefault="00DF286A" w:rsidP="007734D9">
            <w:pPr>
              <w:spacing w:before="120" w:after="120"/>
              <w:rPr>
                <w:sz w:val="18"/>
                <w:szCs w:val="18"/>
              </w:rPr>
            </w:pPr>
          </w:p>
          <w:p w:rsidR="00DF286A" w:rsidRDefault="00DF286A" w:rsidP="007734D9">
            <w:pPr>
              <w:spacing w:before="120" w:after="120"/>
              <w:rPr>
                <w:sz w:val="18"/>
                <w:szCs w:val="18"/>
              </w:rPr>
            </w:pPr>
          </w:p>
          <w:p w:rsidR="00DF286A" w:rsidRDefault="00DF286A" w:rsidP="007734D9">
            <w:pPr>
              <w:spacing w:before="120" w:after="120"/>
              <w:rPr>
                <w:sz w:val="18"/>
                <w:szCs w:val="18"/>
              </w:rPr>
            </w:pPr>
          </w:p>
          <w:p w:rsidR="00DF286A" w:rsidRDefault="00DF286A" w:rsidP="007734D9">
            <w:pPr>
              <w:spacing w:before="120" w:after="120"/>
              <w:rPr>
                <w:sz w:val="18"/>
                <w:szCs w:val="18"/>
              </w:rPr>
            </w:pPr>
          </w:p>
          <w:p w:rsidR="00DF286A" w:rsidRDefault="00DF286A" w:rsidP="007734D9">
            <w:pPr>
              <w:spacing w:before="120" w:after="120"/>
              <w:rPr>
                <w:sz w:val="18"/>
                <w:szCs w:val="18"/>
              </w:rPr>
            </w:pPr>
          </w:p>
          <w:p w:rsidR="00DF286A" w:rsidRDefault="00DF286A" w:rsidP="007734D9">
            <w:pPr>
              <w:spacing w:before="120" w:after="120"/>
              <w:rPr>
                <w:sz w:val="18"/>
                <w:szCs w:val="18"/>
              </w:rPr>
            </w:pPr>
          </w:p>
          <w:p w:rsidR="00DF286A" w:rsidRPr="00CD4B0D" w:rsidRDefault="00DF286A" w:rsidP="007734D9">
            <w:pPr>
              <w:spacing w:before="120" w:after="120"/>
              <w:rPr>
                <w:sz w:val="18"/>
                <w:szCs w:val="18"/>
              </w:rPr>
            </w:pPr>
          </w:p>
        </w:tc>
        <w:tc>
          <w:tcPr>
            <w:tcW w:w="1250" w:type="pct"/>
          </w:tcPr>
          <w:p w:rsidR="00DF286A" w:rsidRPr="00CD4B0D" w:rsidRDefault="00DF286A" w:rsidP="009B26B3">
            <w:pPr>
              <w:spacing w:before="120" w:after="120"/>
              <w:rPr>
                <w:sz w:val="18"/>
                <w:szCs w:val="18"/>
              </w:rPr>
            </w:pPr>
            <w:r w:rsidRPr="00CD4B0D">
              <w:rPr>
                <w:sz w:val="18"/>
                <w:szCs w:val="18"/>
              </w:rPr>
              <w:t>Learning goals in unit stated, and aligned to graduate learning outcomes, and graduate learning outcomes mapped to all unit learning outcomes.</w:t>
            </w:r>
          </w:p>
        </w:tc>
        <w:tc>
          <w:tcPr>
            <w:tcW w:w="1250" w:type="pct"/>
          </w:tcPr>
          <w:p w:rsidR="00DF286A" w:rsidRDefault="00DF286A" w:rsidP="009B26B3">
            <w:pPr>
              <w:spacing w:before="120" w:after="120"/>
              <w:rPr>
                <w:sz w:val="18"/>
                <w:szCs w:val="18"/>
              </w:rPr>
            </w:pPr>
            <w:r>
              <w:rPr>
                <w:sz w:val="18"/>
                <w:szCs w:val="18"/>
              </w:rPr>
              <w:t xml:space="preserve">Aim: to cover overall goals for the unit, content and teaching intentions, including opportunities for students to acquire new skills; articulate what students will be able to do at the end of the unit and demonstrate through summative and formative assessment; adhere to academic standards set by educational provider.  </w:t>
            </w:r>
          </w:p>
          <w:p w:rsidR="00DF286A" w:rsidRPr="00CD4B0D" w:rsidRDefault="00DF286A" w:rsidP="009B26B3">
            <w:pPr>
              <w:spacing w:before="120" w:after="120"/>
              <w:rPr>
                <w:sz w:val="18"/>
                <w:szCs w:val="18"/>
              </w:rPr>
            </w:pPr>
          </w:p>
        </w:tc>
        <w:tc>
          <w:tcPr>
            <w:tcW w:w="1250" w:type="pct"/>
          </w:tcPr>
          <w:p w:rsidR="00DF286A" w:rsidRDefault="00DF286A" w:rsidP="00024B35">
            <w:pPr>
              <w:spacing w:before="120" w:after="120"/>
              <w:rPr>
                <w:sz w:val="18"/>
                <w:szCs w:val="18"/>
              </w:rPr>
            </w:pPr>
            <w:r>
              <w:rPr>
                <w:sz w:val="18"/>
                <w:szCs w:val="18"/>
              </w:rPr>
              <w:t xml:space="preserve">Overall comments: </w:t>
            </w:r>
          </w:p>
          <w:p w:rsidR="00DF286A" w:rsidRDefault="00DF286A" w:rsidP="00024B35">
            <w:pPr>
              <w:spacing w:before="120" w:after="120"/>
              <w:rPr>
                <w:sz w:val="18"/>
                <w:szCs w:val="18"/>
              </w:rPr>
            </w:pPr>
            <w:r>
              <w:rPr>
                <w:sz w:val="18"/>
                <w:szCs w:val="18"/>
              </w:rPr>
              <w:t>Importantly, the Unit Chair noted that the unit is a large first year unit, with more than a dozen academic teaching staff.  As such, the unit does not belong to one academic, but to the discipline.  Therefore, differing ideas, and pedagogical approaches have to be a considered and accommodated – so a one size fits all holistic approach is not always workable/possible.</w:t>
            </w:r>
          </w:p>
          <w:p w:rsidR="00DF286A" w:rsidRPr="00CD4B0D" w:rsidRDefault="00DF286A" w:rsidP="00024B35">
            <w:pPr>
              <w:spacing w:before="120" w:after="120"/>
              <w:rPr>
                <w:sz w:val="18"/>
                <w:szCs w:val="18"/>
              </w:rPr>
            </w:pPr>
            <w:r>
              <w:rPr>
                <w:sz w:val="18"/>
                <w:szCs w:val="18"/>
              </w:rPr>
              <w:t xml:space="preserve">The unit chair agreed with the substantive content of the UDL review, noting that it underlined good practice, which should be continued and other suggestions </w:t>
            </w:r>
            <w:r w:rsidRPr="0027400C">
              <w:rPr>
                <w:sz w:val="18"/>
                <w:szCs w:val="18"/>
              </w:rPr>
              <w:t>will enhance or resonate with the student feedback in the way we teach</w:t>
            </w:r>
            <w:r>
              <w:rPr>
                <w:sz w:val="18"/>
                <w:szCs w:val="18"/>
              </w:rPr>
              <w:t xml:space="preserve">.  The UDL report will provide a guide to further refining the unit – some aspects will be adopted, while other will provide thought for debate.  </w:t>
            </w:r>
          </w:p>
        </w:tc>
      </w:tr>
      <w:tr w:rsidR="00DF286A" w:rsidTr="00DF286A">
        <w:tc>
          <w:tcPr>
            <w:tcW w:w="1250" w:type="pct"/>
          </w:tcPr>
          <w:p w:rsidR="00DF286A" w:rsidRPr="00854659" w:rsidRDefault="00DF286A" w:rsidP="00702779">
            <w:pPr>
              <w:spacing w:before="120" w:after="120"/>
              <w:rPr>
                <w:color w:val="000000" w:themeColor="text1"/>
                <w:sz w:val="18"/>
                <w:szCs w:val="18"/>
              </w:rPr>
            </w:pPr>
            <w:r w:rsidRPr="00854659">
              <w:rPr>
                <w:color w:val="000000" w:themeColor="text1"/>
                <w:sz w:val="18"/>
                <w:szCs w:val="18"/>
                <w:lang w:val="en-US"/>
              </w:rPr>
              <w:t xml:space="preserve">Multiple means of representation are also evident in the range of learning resources listed, which included websites, journals, books and DVDs. </w:t>
            </w:r>
          </w:p>
        </w:tc>
        <w:tc>
          <w:tcPr>
            <w:tcW w:w="1250" w:type="pct"/>
          </w:tcPr>
          <w:p w:rsidR="00DF286A" w:rsidRPr="00854659" w:rsidRDefault="00DF286A" w:rsidP="00702779">
            <w:pPr>
              <w:spacing w:before="120" w:after="120"/>
              <w:rPr>
                <w:color w:val="000000" w:themeColor="text1"/>
                <w:sz w:val="18"/>
                <w:szCs w:val="18"/>
              </w:rPr>
            </w:pPr>
            <w:r>
              <w:rPr>
                <w:color w:val="000000" w:themeColor="text1"/>
                <w:sz w:val="18"/>
                <w:szCs w:val="18"/>
              </w:rPr>
              <w:t>R</w:t>
            </w:r>
            <w:r w:rsidRPr="00854659">
              <w:rPr>
                <w:color w:val="000000" w:themeColor="text1"/>
                <w:sz w:val="18"/>
                <w:szCs w:val="18"/>
              </w:rPr>
              <w:t>esources used to deliver the curriculum support a commitment to div</w:t>
            </w:r>
            <w:r>
              <w:rPr>
                <w:color w:val="000000" w:themeColor="text1"/>
                <w:sz w:val="18"/>
                <w:szCs w:val="18"/>
              </w:rPr>
              <w:t xml:space="preserve">ersity of content and relevance. </w:t>
            </w:r>
            <w:r w:rsidRPr="00854659">
              <w:rPr>
                <w:color w:val="000000" w:themeColor="text1"/>
                <w:sz w:val="18"/>
                <w:szCs w:val="18"/>
              </w:rPr>
              <w:t xml:space="preserve">  Consideration should be given to adequacy of resources, variety of formats and provision of wide range of examples.  </w:t>
            </w:r>
          </w:p>
        </w:tc>
        <w:tc>
          <w:tcPr>
            <w:tcW w:w="1250" w:type="pct"/>
          </w:tcPr>
          <w:p w:rsidR="00DF286A" w:rsidRPr="00CD4B0D" w:rsidRDefault="00DF286A" w:rsidP="00702779">
            <w:pPr>
              <w:spacing w:before="120" w:after="120"/>
              <w:rPr>
                <w:sz w:val="18"/>
                <w:szCs w:val="18"/>
              </w:rPr>
            </w:pPr>
          </w:p>
        </w:tc>
        <w:tc>
          <w:tcPr>
            <w:tcW w:w="1250" w:type="pct"/>
          </w:tcPr>
          <w:p w:rsidR="00DF286A" w:rsidRDefault="00DF286A" w:rsidP="00702779">
            <w:pPr>
              <w:spacing w:before="120" w:after="120"/>
              <w:rPr>
                <w:sz w:val="18"/>
                <w:szCs w:val="18"/>
              </w:rPr>
            </w:pPr>
            <w:r>
              <w:rPr>
                <w:sz w:val="18"/>
                <w:szCs w:val="18"/>
              </w:rPr>
              <w:t>The unit includes many films as part of our learning resources and direct students to sites such as Screen Australia and ABC etc.</w:t>
            </w:r>
          </w:p>
        </w:tc>
      </w:tr>
      <w:tr w:rsidR="00DF286A" w:rsidTr="00DF286A">
        <w:tc>
          <w:tcPr>
            <w:tcW w:w="1250" w:type="pct"/>
          </w:tcPr>
          <w:p w:rsidR="00DF286A" w:rsidRPr="00CD4B0D" w:rsidRDefault="00DF286A" w:rsidP="00702779">
            <w:pPr>
              <w:spacing w:before="120" w:after="120"/>
              <w:rPr>
                <w:sz w:val="18"/>
                <w:szCs w:val="18"/>
              </w:rPr>
            </w:pPr>
          </w:p>
        </w:tc>
        <w:tc>
          <w:tcPr>
            <w:tcW w:w="1250" w:type="pct"/>
          </w:tcPr>
          <w:p w:rsidR="00DF286A" w:rsidRPr="00CD4B0D" w:rsidRDefault="00DF286A" w:rsidP="00702779">
            <w:pPr>
              <w:spacing w:before="120" w:after="120"/>
              <w:rPr>
                <w:sz w:val="18"/>
                <w:szCs w:val="18"/>
              </w:rPr>
            </w:pPr>
          </w:p>
        </w:tc>
        <w:tc>
          <w:tcPr>
            <w:tcW w:w="1250" w:type="pct"/>
          </w:tcPr>
          <w:p w:rsidR="00DF286A" w:rsidRPr="00CD4B0D" w:rsidRDefault="00DF286A" w:rsidP="00702779">
            <w:pPr>
              <w:spacing w:before="120" w:after="120"/>
              <w:rPr>
                <w:sz w:val="18"/>
                <w:szCs w:val="18"/>
              </w:rPr>
            </w:pPr>
          </w:p>
        </w:tc>
        <w:tc>
          <w:tcPr>
            <w:tcW w:w="1250" w:type="pct"/>
          </w:tcPr>
          <w:p w:rsidR="00DF286A" w:rsidRPr="00CD4B0D" w:rsidRDefault="00DF286A" w:rsidP="00702779">
            <w:pPr>
              <w:spacing w:before="120" w:after="120"/>
              <w:rPr>
                <w:sz w:val="18"/>
                <w:szCs w:val="18"/>
              </w:rPr>
            </w:pPr>
          </w:p>
        </w:tc>
      </w:tr>
    </w:tbl>
    <w:p w:rsidR="00017015" w:rsidRDefault="00017015"/>
    <w:p w:rsidR="00CB7F47" w:rsidRDefault="00CB7F47"/>
    <w:tbl>
      <w:tblPr>
        <w:tblStyle w:val="TableGrid"/>
        <w:tblW w:w="5003" w:type="pct"/>
        <w:tblInd w:w="-5" w:type="dxa"/>
        <w:tblLayout w:type="fixed"/>
        <w:tblLook w:val="04A0" w:firstRow="1" w:lastRow="0" w:firstColumn="1" w:lastColumn="0" w:noHBand="0" w:noVBand="1"/>
      </w:tblPr>
      <w:tblGrid>
        <w:gridCol w:w="3176"/>
        <w:gridCol w:w="4047"/>
        <w:gridCol w:w="3488"/>
        <w:gridCol w:w="3858"/>
      </w:tblGrid>
      <w:tr w:rsidR="00581156" w:rsidTr="00702779">
        <w:tc>
          <w:tcPr>
            <w:tcW w:w="1090" w:type="pct"/>
            <w:tcBorders>
              <w:top w:val="single" w:sz="4" w:space="0" w:color="auto"/>
              <w:left w:val="single" w:sz="4" w:space="0" w:color="auto"/>
              <w:right w:val="nil"/>
            </w:tcBorders>
          </w:tcPr>
          <w:p w:rsidR="00CB7F47" w:rsidRPr="003519B3" w:rsidRDefault="003519B3" w:rsidP="003519B3">
            <w:pPr>
              <w:pStyle w:val="Heading1"/>
              <w:rPr>
                <w:rFonts w:asciiTheme="minorHAnsi" w:hAnsiTheme="minorHAnsi" w:cstheme="minorHAnsi"/>
                <w:sz w:val="18"/>
                <w:szCs w:val="18"/>
              </w:rPr>
            </w:pPr>
            <w:r w:rsidRPr="003519B3">
              <w:rPr>
                <w:rFonts w:asciiTheme="minorHAnsi" w:hAnsiTheme="minorHAnsi" w:cstheme="minorHAnsi"/>
              </w:rPr>
              <w:t>WEAKNESSES</w:t>
            </w:r>
          </w:p>
        </w:tc>
        <w:tc>
          <w:tcPr>
            <w:tcW w:w="1389" w:type="pct"/>
            <w:tcBorders>
              <w:left w:val="nil"/>
              <w:right w:val="nil"/>
            </w:tcBorders>
          </w:tcPr>
          <w:p w:rsidR="004E20AF" w:rsidRPr="00CD4B0D" w:rsidRDefault="004E20AF" w:rsidP="007734D9">
            <w:pPr>
              <w:spacing w:before="120" w:after="120"/>
              <w:rPr>
                <w:sz w:val="18"/>
                <w:szCs w:val="18"/>
              </w:rPr>
            </w:pPr>
          </w:p>
        </w:tc>
        <w:tc>
          <w:tcPr>
            <w:tcW w:w="1197" w:type="pct"/>
            <w:tcBorders>
              <w:left w:val="nil"/>
              <w:right w:val="nil"/>
            </w:tcBorders>
          </w:tcPr>
          <w:p w:rsidR="004E20AF" w:rsidRPr="00CD4B0D" w:rsidRDefault="004E20AF" w:rsidP="007734D9">
            <w:pPr>
              <w:spacing w:before="120" w:after="120"/>
              <w:rPr>
                <w:sz w:val="18"/>
                <w:szCs w:val="18"/>
              </w:rPr>
            </w:pPr>
          </w:p>
        </w:tc>
        <w:tc>
          <w:tcPr>
            <w:tcW w:w="1324" w:type="pct"/>
            <w:tcBorders>
              <w:left w:val="nil"/>
              <w:right w:val="single" w:sz="4" w:space="0" w:color="auto"/>
            </w:tcBorders>
          </w:tcPr>
          <w:p w:rsidR="004E20AF" w:rsidRPr="00CD4B0D" w:rsidRDefault="004E20AF" w:rsidP="007734D9">
            <w:pPr>
              <w:spacing w:before="120" w:after="120"/>
              <w:rPr>
                <w:sz w:val="18"/>
                <w:szCs w:val="18"/>
              </w:rPr>
            </w:pPr>
          </w:p>
        </w:tc>
      </w:tr>
      <w:tr w:rsidR="00581156" w:rsidTr="00702779">
        <w:tc>
          <w:tcPr>
            <w:tcW w:w="1090" w:type="pct"/>
          </w:tcPr>
          <w:p w:rsidR="00CB7F47" w:rsidRPr="003519B3" w:rsidRDefault="00CB7F47"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Project Team</w:t>
            </w:r>
            <w:r w:rsidR="00EB3ECF" w:rsidRPr="003519B3">
              <w:rPr>
                <w:rFonts w:ascii="Calibri Light" w:hAnsi="Calibri Light" w:cstheme="majorBidi"/>
                <w:b/>
                <w:color w:val="243F60" w:themeColor="accent1" w:themeShade="7F"/>
                <w:sz w:val="24"/>
                <w:szCs w:val="24"/>
              </w:rPr>
              <w:t xml:space="preserve"> </w:t>
            </w:r>
            <w:r w:rsidR="00D542AF" w:rsidRPr="003519B3">
              <w:rPr>
                <w:rFonts w:ascii="Calibri Light" w:hAnsi="Calibri Light" w:cstheme="majorBidi"/>
                <w:b/>
                <w:color w:val="243F60" w:themeColor="accent1" w:themeShade="7F"/>
                <w:sz w:val="24"/>
                <w:szCs w:val="24"/>
              </w:rPr>
              <w:t>comments/</w:t>
            </w:r>
            <w:r w:rsidR="00EB3ECF" w:rsidRPr="003519B3">
              <w:rPr>
                <w:rFonts w:ascii="Calibri Light" w:hAnsi="Calibri Light" w:cstheme="majorBidi"/>
                <w:b/>
                <w:color w:val="243F60" w:themeColor="accent1" w:themeShade="7F"/>
                <w:sz w:val="24"/>
                <w:szCs w:val="24"/>
              </w:rPr>
              <w:t>suggestions</w:t>
            </w:r>
          </w:p>
        </w:tc>
        <w:tc>
          <w:tcPr>
            <w:tcW w:w="1389" w:type="pct"/>
          </w:tcPr>
          <w:p w:rsidR="00CB7F47" w:rsidRPr="003519B3" w:rsidRDefault="00CB7F47"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UDL Review</w:t>
            </w:r>
          </w:p>
        </w:tc>
        <w:tc>
          <w:tcPr>
            <w:tcW w:w="1197" w:type="pct"/>
          </w:tcPr>
          <w:p w:rsidR="00CB7F47" w:rsidRPr="003519B3" w:rsidRDefault="00CB7F47" w:rsidP="005A0FB4">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HEA Guidelines</w:t>
            </w:r>
          </w:p>
        </w:tc>
        <w:tc>
          <w:tcPr>
            <w:tcW w:w="1324" w:type="pct"/>
          </w:tcPr>
          <w:p w:rsidR="00CB7F47" w:rsidRPr="003519B3" w:rsidRDefault="00CB7F47"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Unit Chair Response</w:t>
            </w:r>
          </w:p>
        </w:tc>
      </w:tr>
      <w:tr w:rsidR="00581156" w:rsidTr="00702779">
        <w:tc>
          <w:tcPr>
            <w:tcW w:w="1090" w:type="pct"/>
          </w:tcPr>
          <w:p w:rsidR="00CB7F47" w:rsidRPr="00CD4B0D" w:rsidRDefault="00CB7F47" w:rsidP="007734D9">
            <w:pPr>
              <w:spacing w:before="120" w:after="120"/>
              <w:rPr>
                <w:sz w:val="18"/>
                <w:szCs w:val="18"/>
              </w:rPr>
            </w:pPr>
          </w:p>
        </w:tc>
        <w:tc>
          <w:tcPr>
            <w:tcW w:w="1389" w:type="pct"/>
          </w:tcPr>
          <w:p w:rsidR="00CB7F47" w:rsidRPr="00CB7F47" w:rsidRDefault="00CB7F47" w:rsidP="00CB7F47">
            <w:pPr>
              <w:spacing w:before="120" w:after="120"/>
              <w:rPr>
                <w:sz w:val="18"/>
                <w:szCs w:val="18"/>
              </w:rPr>
            </w:pPr>
            <w:r w:rsidRPr="00CB7F47">
              <w:rPr>
                <w:sz w:val="18"/>
                <w:szCs w:val="18"/>
              </w:rPr>
              <w:t>The overall unit goals are could be written in clearer, more specific language, and learning outcomes are not always provided week to week (in lecture and tutorial notes).  Inclusive goals 1) separate the goal from the means to achieve it, 2) support various pathways to success and 3) reflect any changes which may occur as a result of this review</w:t>
            </w:r>
            <w:r>
              <w:rPr>
                <w:sz w:val="18"/>
                <w:szCs w:val="18"/>
              </w:rPr>
              <w:t>.</w:t>
            </w:r>
          </w:p>
        </w:tc>
        <w:tc>
          <w:tcPr>
            <w:tcW w:w="1197" w:type="pct"/>
          </w:tcPr>
          <w:p w:rsidR="00CB7F47" w:rsidRDefault="00A42926" w:rsidP="007734D9">
            <w:pPr>
              <w:spacing w:before="120" w:after="120"/>
              <w:rPr>
                <w:sz w:val="18"/>
                <w:szCs w:val="18"/>
              </w:rPr>
            </w:pPr>
            <w:r>
              <w:rPr>
                <w:sz w:val="18"/>
                <w:szCs w:val="18"/>
              </w:rPr>
              <w:t>Are the objectives made transparent to students’ pre and post-entry?</w:t>
            </w:r>
          </w:p>
          <w:p w:rsidR="00A42926" w:rsidRDefault="00A42926" w:rsidP="007734D9">
            <w:pPr>
              <w:spacing w:before="120" w:after="120"/>
              <w:rPr>
                <w:sz w:val="18"/>
                <w:szCs w:val="18"/>
              </w:rPr>
            </w:pPr>
            <w:r>
              <w:rPr>
                <w:sz w:val="18"/>
                <w:szCs w:val="18"/>
              </w:rPr>
              <w:t>How clear is the information, advice</w:t>
            </w:r>
            <w:r w:rsidR="00702779">
              <w:rPr>
                <w:sz w:val="18"/>
                <w:szCs w:val="18"/>
              </w:rPr>
              <w:t>, and</w:t>
            </w:r>
            <w:r>
              <w:rPr>
                <w:sz w:val="18"/>
                <w:szCs w:val="18"/>
              </w:rPr>
              <w:t xml:space="preserve"> guidance about learning outcomes related to competence standards?</w:t>
            </w:r>
          </w:p>
          <w:p w:rsidR="00A42926" w:rsidRPr="00CD4B0D" w:rsidRDefault="00A42926" w:rsidP="007734D9">
            <w:pPr>
              <w:spacing w:before="120" w:after="120"/>
              <w:rPr>
                <w:sz w:val="18"/>
                <w:szCs w:val="18"/>
              </w:rPr>
            </w:pPr>
            <w:r>
              <w:rPr>
                <w:sz w:val="18"/>
                <w:szCs w:val="18"/>
              </w:rPr>
              <w:t>Have you ensured that competence standards/outcomes do not discriminate against any equality groupings?</w:t>
            </w:r>
          </w:p>
        </w:tc>
        <w:tc>
          <w:tcPr>
            <w:tcW w:w="1324" w:type="pct"/>
          </w:tcPr>
          <w:p w:rsidR="00CB7F47" w:rsidRPr="00CD4B0D" w:rsidRDefault="00A42926" w:rsidP="007734D9">
            <w:pPr>
              <w:spacing w:before="120" w:after="120"/>
              <w:rPr>
                <w:sz w:val="18"/>
                <w:szCs w:val="18"/>
              </w:rPr>
            </w:pPr>
            <w:r>
              <w:rPr>
                <w:sz w:val="18"/>
                <w:szCs w:val="18"/>
              </w:rPr>
              <w:t>This area has been discussed at the teaching team meeting review of the unit and agreed that there is so much material delivered by way of readings, Study Guide and lectures that there is a need to make clear the key ideas to be grasped and understood each week. The team agreed that refining and streamlining of teaching material is necessary in order to make transparent weekly goals and expectations.</w:t>
            </w:r>
          </w:p>
        </w:tc>
      </w:tr>
      <w:tr w:rsidR="00702779" w:rsidTr="00702779">
        <w:tc>
          <w:tcPr>
            <w:tcW w:w="1090" w:type="pct"/>
          </w:tcPr>
          <w:p w:rsidR="00702779" w:rsidRPr="00CD4B0D" w:rsidRDefault="00702779" w:rsidP="00702779">
            <w:pPr>
              <w:spacing w:before="120" w:after="120"/>
              <w:rPr>
                <w:sz w:val="18"/>
                <w:szCs w:val="18"/>
              </w:rPr>
            </w:pPr>
          </w:p>
        </w:tc>
        <w:tc>
          <w:tcPr>
            <w:tcW w:w="1389" w:type="pct"/>
          </w:tcPr>
          <w:p w:rsidR="00702779" w:rsidRPr="00255CFB" w:rsidRDefault="00702779" w:rsidP="00702779">
            <w:pPr>
              <w:spacing w:before="120" w:after="120"/>
              <w:rPr>
                <w:color w:val="000000" w:themeColor="text1"/>
                <w:sz w:val="18"/>
                <w:szCs w:val="18"/>
                <w:lang w:val="en-US"/>
              </w:rPr>
            </w:pPr>
            <w:r w:rsidRPr="00255CFB">
              <w:rPr>
                <w:color w:val="000000" w:themeColor="text1"/>
                <w:sz w:val="18"/>
                <w:szCs w:val="18"/>
                <w:lang w:val="en-US"/>
              </w:rPr>
              <w:t>Prezi is used for some presentations. This format is not screen reader compatible, and many students find its variety of fonts and zooming features difficult to comprehend. For accessibility purposes, Microsoft PowerPoint is the best option at present</w:t>
            </w:r>
            <w:r>
              <w:rPr>
                <w:color w:val="000000" w:themeColor="text1"/>
                <w:sz w:val="18"/>
                <w:szCs w:val="18"/>
                <w:lang w:val="en-US"/>
              </w:rPr>
              <w:t>.</w:t>
            </w:r>
          </w:p>
        </w:tc>
        <w:tc>
          <w:tcPr>
            <w:tcW w:w="1197" w:type="pct"/>
          </w:tcPr>
          <w:p w:rsidR="00702779" w:rsidRPr="00037A86" w:rsidRDefault="00702779" w:rsidP="00702779">
            <w:pPr>
              <w:spacing w:before="120"/>
              <w:rPr>
                <w:sz w:val="18"/>
                <w:szCs w:val="18"/>
              </w:rPr>
            </w:pPr>
            <w:r w:rsidRPr="00037A86">
              <w:rPr>
                <w:sz w:val="18"/>
                <w:szCs w:val="18"/>
              </w:rPr>
              <w:t>Teaching and Learning materials to promote access for all students.</w:t>
            </w:r>
          </w:p>
          <w:p w:rsidR="00702779" w:rsidRPr="005013C9" w:rsidRDefault="00702779" w:rsidP="00702779">
            <w:pPr>
              <w:spacing w:before="120" w:after="120"/>
              <w:rPr>
                <w:color w:val="4F81BD" w:themeColor="accent1"/>
                <w:sz w:val="18"/>
                <w:szCs w:val="18"/>
              </w:rPr>
            </w:pPr>
          </w:p>
        </w:tc>
        <w:tc>
          <w:tcPr>
            <w:tcW w:w="1324" w:type="pct"/>
          </w:tcPr>
          <w:p w:rsidR="00702779" w:rsidRPr="00CD4B0D" w:rsidRDefault="00702779" w:rsidP="00702779">
            <w:pPr>
              <w:spacing w:before="120" w:after="120"/>
              <w:rPr>
                <w:sz w:val="18"/>
                <w:szCs w:val="18"/>
              </w:rPr>
            </w:pPr>
            <w:r>
              <w:rPr>
                <w:sz w:val="18"/>
                <w:szCs w:val="18"/>
              </w:rPr>
              <w:t>Good point. One lecturer trialled Prezi in T2, will return to PowerPoint</w:t>
            </w:r>
            <w:r w:rsidR="00DF286A">
              <w:rPr>
                <w:sz w:val="18"/>
                <w:szCs w:val="18"/>
              </w:rPr>
              <w:t>.</w:t>
            </w:r>
          </w:p>
        </w:tc>
      </w:tr>
      <w:tr w:rsidR="00D542AF" w:rsidTr="00702779">
        <w:tc>
          <w:tcPr>
            <w:tcW w:w="1090" w:type="pct"/>
          </w:tcPr>
          <w:p w:rsidR="00D542AF" w:rsidRDefault="00D542AF" w:rsidP="00697D53">
            <w:pPr>
              <w:spacing w:before="120" w:after="120"/>
              <w:rPr>
                <w:sz w:val="18"/>
                <w:szCs w:val="18"/>
              </w:rPr>
            </w:pPr>
          </w:p>
        </w:tc>
        <w:tc>
          <w:tcPr>
            <w:tcW w:w="1389" w:type="pct"/>
          </w:tcPr>
          <w:p w:rsidR="00D542AF" w:rsidRDefault="00D542AF" w:rsidP="00662570">
            <w:pPr>
              <w:spacing w:before="120" w:after="120"/>
              <w:rPr>
                <w:sz w:val="18"/>
                <w:szCs w:val="18"/>
              </w:rPr>
            </w:pPr>
          </w:p>
        </w:tc>
        <w:tc>
          <w:tcPr>
            <w:tcW w:w="1197" w:type="pct"/>
          </w:tcPr>
          <w:p w:rsidR="00D542AF" w:rsidRDefault="00D542AF" w:rsidP="007734D9">
            <w:pPr>
              <w:spacing w:before="120" w:after="120"/>
              <w:rPr>
                <w:sz w:val="18"/>
                <w:szCs w:val="18"/>
              </w:rPr>
            </w:pPr>
          </w:p>
        </w:tc>
        <w:tc>
          <w:tcPr>
            <w:tcW w:w="1324" w:type="pct"/>
          </w:tcPr>
          <w:p w:rsidR="00D542AF" w:rsidRDefault="00D542AF" w:rsidP="00871A5C">
            <w:pPr>
              <w:spacing w:before="120" w:after="120"/>
              <w:rPr>
                <w:sz w:val="18"/>
                <w:szCs w:val="18"/>
              </w:rPr>
            </w:pPr>
          </w:p>
        </w:tc>
      </w:tr>
    </w:tbl>
    <w:p w:rsidR="003519B3" w:rsidRDefault="003519B3">
      <w:r>
        <w:br w:type="page"/>
      </w:r>
    </w:p>
    <w:tbl>
      <w:tblPr>
        <w:tblStyle w:val="TableGrid"/>
        <w:tblW w:w="5000" w:type="pct"/>
        <w:tblLayout w:type="fixed"/>
        <w:tblLook w:val="04A0" w:firstRow="1" w:lastRow="0" w:firstColumn="1" w:lastColumn="0" w:noHBand="0" w:noVBand="1"/>
      </w:tblPr>
      <w:tblGrid>
        <w:gridCol w:w="3460"/>
        <w:gridCol w:w="1815"/>
        <w:gridCol w:w="559"/>
        <w:gridCol w:w="1955"/>
        <w:gridCol w:w="2655"/>
        <w:gridCol w:w="699"/>
        <w:gridCol w:w="3427"/>
      </w:tblGrid>
      <w:tr w:rsidR="00D14C6D" w:rsidTr="003519B3">
        <w:tc>
          <w:tcPr>
            <w:tcW w:w="2002" w:type="pct"/>
            <w:gridSpan w:val="3"/>
            <w:tcBorders>
              <w:top w:val="nil"/>
              <w:left w:val="nil"/>
              <w:bottom w:val="single" w:sz="4" w:space="0" w:color="auto"/>
              <w:right w:val="nil"/>
            </w:tcBorders>
          </w:tcPr>
          <w:p w:rsidR="0089420F" w:rsidRPr="00CD4B0D" w:rsidRDefault="0089420F" w:rsidP="007734D9">
            <w:pPr>
              <w:spacing w:before="120" w:after="120"/>
              <w:rPr>
                <w:sz w:val="18"/>
                <w:szCs w:val="18"/>
              </w:rPr>
            </w:pPr>
          </w:p>
        </w:tc>
        <w:tc>
          <w:tcPr>
            <w:tcW w:w="671" w:type="pct"/>
            <w:tcBorders>
              <w:top w:val="nil"/>
              <w:left w:val="nil"/>
              <w:bottom w:val="single" w:sz="4" w:space="0" w:color="auto"/>
              <w:right w:val="nil"/>
            </w:tcBorders>
          </w:tcPr>
          <w:p w:rsidR="0089420F" w:rsidRPr="00CD4B0D" w:rsidRDefault="0089420F" w:rsidP="007734D9">
            <w:pPr>
              <w:spacing w:before="120" w:after="120"/>
              <w:rPr>
                <w:sz w:val="18"/>
                <w:szCs w:val="18"/>
              </w:rPr>
            </w:pPr>
          </w:p>
        </w:tc>
        <w:tc>
          <w:tcPr>
            <w:tcW w:w="1151" w:type="pct"/>
            <w:gridSpan w:val="2"/>
            <w:tcBorders>
              <w:top w:val="nil"/>
              <w:left w:val="nil"/>
              <w:bottom w:val="single" w:sz="4" w:space="0" w:color="auto"/>
              <w:right w:val="nil"/>
            </w:tcBorders>
          </w:tcPr>
          <w:p w:rsidR="0089420F" w:rsidRPr="00CD4B0D" w:rsidRDefault="0089420F" w:rsidP="007734D9">
            <w:pPr>
              <w:spacing w:before="120" w:after="120"/>
              <w:rPr>
                <w:sz w:val="18"/>
                <w:szCs w:val="18"/>
              </w:rPr>
            </w:pPr>
          </w:p>
        </w:tc>
        <w:tc>
          <w:tcPr>
            <w:tcW w:w="1176" w:type="pct"/>
            <w:tcBorders>
              <w:top w:val="nil"/>
              <w:left w:val="nil"/>
              <w:bottom w:val="single" w:sz="4" w:space="0" w:color="auto"/>
              <w:right w:val="nil"/>
            </w:tcBorders>
          </w:tcPr>
          <w:p w:rsidR="0089420F" w:rsidRPr="00CD4B0D" w:rsidRDefault="0089420F" w:rsidP="007734D9">
            <w:pPr>
              <w:spacing w:before="120" w:after="120"/>
              <w:rPr>
                <w:sz w:val="18"/>
                <w:szCs w:val="18"/>
              </w:rPr>
            </w:pPr>
          </w:p>
        </w:tc>
      </w:tr>
      <w:tr w:rsidR="00D14C6D" w:rsidTr="003519B3">
        <w:tc>
          <w:tcPr>
            <w:tcW w:w="2002" w:type="pct"/>
            <w:gridSpan w:val="3"/>
            <w:tcBorders>
              <w:left w:val="single" w:sz="4" w:space="0" w:color="auto"/>
              <w:right w:val="nil"/>
            </w:tcBorders>
          </w:tcPr>
          <w:p w:rsidR="0089420F" w:rsidRPr="003519B3" w:rsidRDefault="00D14C6D" w:rsidP="003519B3">
            <w:pPr>
              <w:spacing w:before="120" w:after="120"/>
              <w:rPr>
                <w:rFonts w:cstheme="minorHAnsi"/>
                <w:color w:val="365F91" w:themeColor="accent1" w:themeShade="BF"/>
                <w:sz w:val="32"/>
                <w:szCs w:val="32"/>
              </w:rPr>
            </w:pPr>
            <w:r w:rsidRPr="003519B3">
              <w:rPr>
                <w:rFonts w:cstheme="minorHAnsi"/>
                <w:color w:val="365F91" w:themeColor="accent1" w:themeShade="BF"/>
                <w:sz w:val="32"/>
                <w:szCs w:val="32"/>
              </w:rPr>
              <w:t>OPPORTUNITIES</w:t>
            </w:r>
          </w:p>
        </w:tc>
        <w:tc>
          <w:tcPr>
            <w:tcW w:w="671" w:type="pct"/>
            <w:tcBorders>
              <w:left w:val="nil"/>
              <w:right w:val="nil"/>
            </w:tcBorders>
          </w:tcPr>
          <w:p w:rsidR="0089420F" w:rsidRPr="00CD4B0D" w:rsidRDefault="0089420F" w:rsidP="007734D9">
            <w:pPr>
              <w:spacing w:before="120" w:after="120"/>
              <w:rPr>
                <w:sz w:val="18"/>
                <w:szCs w:val="18"/>
              </w:rPr>
            </w:pPr>
          </w:p>
        </w:tc>
        <w:tc>
          <w:tcPr>
            <w:tcW w:w="1151" w:type="pct"/>
            <w:gridSpan w:val="2"/>
            <w:tcBorders>
              <w:left w:val="nil"/>
              <w:right w:val="nil"/>
            </w:tcBorders>
          </w:tcPr>
          <w:p w:rsidR="0089420F" w:rsidRPr="00CD4B0D" w:rsidRDefault="0089420F" w:rsidP="007734D9">
            <w:pPr>
              <w:spacing w:before="120" w:after="120"/>
              <w:rPr>
                <w:sz w:val="18"/>
                <w:szCs w:val="18"/>
              </w:rPr>
            </w:pPr>
          </w:p>
        </w:tc>
        <w:tc>
          <w:tcPr>
            <w:tcW w:w="1176" w:type="pct"/>
            <w:tcBorders>
              <w:left w:val="nil"/>
              <w:right w:val="single" w:sz="4" w:space="0" w:color="auto"/>
            </w:tcBorders>
          </w:tcPr>
          <w:p w:rsidR="0089420F" w:rsidRPr="00CD4B0D" w:rsidRDefault="0089420F" w:rsidP="007734D9">
            <w:pPr>
              <w:spacing w:before="120" w:after="120"/>
              <w:rPr>
                <w:sz w:val="18"/>
                <w:szCs w:val="18"/>
              </w:rPr>
            </w:pPr>
          </w:p>
        </w:tc>
      </w:tr>
      <w:tr w:rsidR="00D14C6D" w:rsidTr="003519B3">
        <w:tc>
          <w:tcPr>
            <w:tcW w:w="2002" w:type="pct"/>
            <w:gridSpan w:val="3"/>
          </w:tcPr>
          <w:p w:rsidR="00D14C6D" w:rsidRPr="003519B3" w:rsidRDefault="00D14C6D"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Project Team comments/suggestions</w:t>
            </w:r>
          </w:p>
        </w:tc>
        <w:tc>
          <w:tcPr>
            <w:tcW w:w="671" w:type="pct"/>
          </w:tcPr>
          <w:p w:rsidR="00D14C6D" w:rsidRPr="003519B3" w:rsidRDefault="00D14C6D"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UDL Review</w:t>
            </w:r>
          </w:p>
        </w:tc>
        <w:tc>
          <w:tcPr>
            <w:tcW w:w="1151" w:type="pct"/>
            <w:gridSpan w:val="2"/>
          </w:tcPr>
          <w:p w:rsidR="00D14C6D" w:rsidRPr="003519B3" w:rsidRDefault="00D14C6D"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HEA Guidelines</w:t>
            </w:r>
          </w:p>
        </w:tc>
        <w:tc>
          <w:tcPr>
            <w:tcW w:w="1176" w:type="pct"/>
          </w:tcPr>
          <w:p w:rsidR="00D14C6D" w:rsidRPr="003519B3" w:rsidRDefault="00D14C6D"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Unit Chair Response</w:t>
            </w:r>
          </w:p>
        </w:tc>
      </w:tr>
      <w:tr w:rsidR="00D14C6D" w:rsidTr="003519B3">
        <w:tc>
          <w:tcPr>
            <w:tcW w:w="2002" w:type="pct"/>
            <w:gridSpan w:val="3"/>
          </w:tcPr>
          <w:p w:rsidR="00D14C6D" w:rsidRPr="00AF3D67" w:rsidRDefault="00D14C6D" w:rsidP="00581156">
            <w:pPr>
              <w:spacing w:before="120"/>
              <w:rPr>
                <w:rFonts w:cs="Arial"/>
                <w:sz w:val="18"/>
                <w:szCs w:val="18"/>
              </w:rPr>
            </w:pPr>
            <w:r w:rsidRPr="00AF3D67">
              <w:rPr>
                <w:rFonts w:cs="Arial"/>
                <w:sz w:val="18"/>
                <w:szCs w:val="18"/>
              </w:rPr>
              <w:t xml:space="preserve">Encouraging discipline specific knowledge through developing a wiki. </w:t>
            </w:r>
          </w:p>
          <w:p w:rsidR="00D14C6D" w:rsidRPr="00AF3D67" w:rsidRDefault="00D14C6D" w:rsidP="009B26B3">
            <w:pPr>
              <w:rPr>
                <w:rFonts w:cs="Arial"/>
                <w:sz w:val="18"/>
                <w:szCs w:val="18"/>
              </w:rPr>
            </w:pPr>
          </w:p>
          <w:p w:rsidR="00D14C6D" w:rsidRPr="00AF3D67" w:rsidRDefault="00585271" w:rsidP="009B26B3">
            <w:pPr>
              <w:rPr>
                <w:rFonts w:cs="Arial"/>
                <w:sz w:val="18"/>
                <w:szCs w:val="18"/>
              </w:rPr>
            </w:pPr>
            <w:hyperlink r:id="rId8" w:history="1">
              <w:r w:rsidR="00D14C6D" w:rsidRPr="00AF3D67">
                <w:rPr>
                  <w:rStyle w:val="Hyperlink"/>
                  <w:rFonts w:cs="Arial"/>
                  <w:sz w:val="18"/>
                  <w:szCs w:val="18"/>
                </w:rPr>
                <w:t>http://online.cofa.unsw.edu.au/learning-to-teach-online/ltto-episodes?view=video&amp;video=245</w:t>
              </w:r>
            </w:hyperlink>
          </w:p>
          <w:p w:rsidR="00D14C6D" w:rsidRPr="00AF3D67" w:rsidRDefault="00D14C6D" w:rsidP="009B26B3">
            <w:pPr>
              <w:rPr>
                <w:rFonts w:cs="Arial"/>
                <w:sz w:val="18"/>
                <w:szCs w:val="18"/>
              </w:rPr>
            </w:pPr>
          </w:p>
        </w:tc>
        <w:tc>
          <w:tcPr>
            <w:tcW w:w="671" w:type="pct"/>
          </w:tcPr>
          <w:p w:rsidR="00D14C6D" w:rsidRPr="00AF3D67" w:rsidRDefault="00D14C6D" w:rsidP="00017015">
            <w:pPr>
              <w:spacing w:before="120"/>
              <w:rPr>
                <w:rFonts w:cs="Arial"/>
                <w:sz w:val="18"/>
                <w:szCs w:val="18"/>
              </w:rPr>
            </w:pPr>
            <w:r w:rsidRPr="00AF3D67">
              <w:rPr>
                <w:rFonts w:cs="Arial"/>
                <w:sz w:val="18"/>
                <w:szCs w:val="18"/>
              </w:rPr>
              <w:t>Unit glossary to make terms available</w:t>
            </w:r>
          </w:p>
        </w:tc>
        <w:tc>
          <w:tcPr>
            <w:tcW w:w="1151" w:type="pct"/>
            <w:gridSpan w:val="2"/>
          </w:tcPr>
          <w:p w:rsidR="00D14C6D" w:rsidRPr="00CD4B0D" w:rsidRDefault="00D14C6D" w:rsidP="007734D9">
            <w:pPr>
              <w:spacing w:before="120" w:after="120"/>
              <w:rPr>
                <w:sz w:val="18"/>
                <w:szCs w:val="18"/>
              </w:rPr>
            </w:pPr>
            <w:r w:rsidRPr="00D14C6D">
              <w:rPr>
                <w:sz w:val="18"/>
                <w:szCs w:val="18"/>
              </w:rPr>
              <w:t>The terminology and discourse of sociological and political theory can be off putting for some students.</w:t>
            </w:r>
          </w:p>
        </w:tc>
        <w:tc>
          <w:tcPr>
            <w:tcW w:w="1176" w:type="pct"/>
          </w:tcPr>
          <w:p w:rsidR="00D14C6D" w:rsidRPr="00CD4B0D" w:rsidRDefault="00B91F0C" w:rsidP="007734D9">
            <w:pPr>
              <w:spacing w:before="120" w:after="120"/>
              <w:rPr>
                <w:sz w:val="18"/>
                <w:szCs w:val="18"/>
              </w:rPr>
            </w:pPr>
            <w:r>
              <w:rPr>
                <w:sz w:val="18"/>
                <w:szCs w:val="18"/>
              </w:rPr>
              <w:t>Acknowledgement that a unit glossary is needed and would be beneficial.</w:t>
            </w:r>
          </w:p>
        </w:tc>
      </w:tr>
      <w:tr w:rsidR="00CC5946" w:rsidTr="003519B3">
        <w:tc>
          <w:tcPr>
            <w:tcW w:w="2002" w:type="pct"/>
            <w:gridSpan w:val="3"/>
          </w:tcPr>
          <w:p w:rsidR="00CC5946" w:rsidRPr="00D14C6D" w:rsidRDefault="00CC5946" w:rsidP="00CC5946">
            <w:pPr>
              <w:spacing w:before="120" w:after="120"/>
              <w:rPr>
                <w:sz w:val="18"/>
                <w:szCs w:val="18"/>
              </w:rPr>
            </w:pPr>
            <w:r w:rsidRPr="00D14C6D">
              <w:rPr>
                <w:rFonts w:cs="Arial"/>
                <w:sz w:val="18"/>
                <w:szCs w:val="16"/>
              </w:rPr>
              <w:t>A document that outlines clearly for tutors the learning outcomes and expectations about incorporating skills into tutorials. While it is good to encourage ‘open discussion’, the tutorials also provide an opportunity for students to reflect on the ‘how’ of what they are doing, not just the content. It also helps if you make tutors aware of the prior experience of students. Many sessional tutors are currently undertaking their own PhD and may not be aware of the skill level of first year students in particular.</w:t>
            </w:r>
          </w:p>
        </w:tc>
        <w:tc>
          <w:tcPr>
            <w:tcW w:w="671" w:type="pct"/>
          </w:tcPr>
          <w:p w:rsidR="00CC5946" w:rsidRPr="00CD4B0D" w:rsidRDefault="00CC5946" w:rsidP="00CC5946">
            <w:pPr>
              <w:spacing w:before="120" w:after="120"/>
              <w:rPr>
                <w:sz w:val="18"/>
                <w:szCs w:val="18"/>
              </w:rPr>
            </w:pPr>
          </w:p>
        </w:tc>
        <w:tc>
          <w:tcPr>
            <w:tcW w:w="1151" w:type="pct"/>
            <w:gridSpan w:val="2"/>
          </w:tcPr>
          <w:p w:rsidR="00CC5946" w:rsidRPr="00D14C6D" w:rsidRDefault="00CC5946" w:rsidP="00CC5946">
            <w:pPr>
              <w:spacing w:before="120" w:after="120"/>
              <w:rPr>
                <w:sz w:val="18"/>
                <w:szCs w:val="18"/>
              </w:rPr>
            </w:pPr>
            <w:r w:rsidRPr="00D14C6D">
              <w:rPr>
                <w:rFonts w:cs="Arial"/>
                <w:color w:val="000000"/>
                <w:sz w:val="18"/>
                <w:szCs w:val="16"/>
              </w:rPr>
              <w:t xml:space="preserve">Circulating a document to all those involved in teaching </w:t>
            </w:r>
            <w:r w:rsidRPr="00D14C6D">
              <w:rPr>
                <w:rFonts w:cs="Arial"/>
                <w:color w:val="221E1F"/>
                <w:sz w:val="18"/>
                <w:szCs w:val="16"/>
              </w:rPr>
              <w:t>and in particular to new or visiting staff that highlights the prior educational experience of students and makes suggestions for how delivery might be tailored in response.</w:t>
            </w:r>
          </w:p>
        </w:tc>
        <w:tc>
          <w:tcPr>
            <w:tcW w:w="1176" w:type="pct"/>
          </w:tcPr>
          <w:p w:rsidR="00CC5946" w:rsidRPr="00CD4B0D" w:rsidRDefault="00CC5946" w:rsidP="00CC5946">
            <w:pPr>
              <w:spacing w:before="120" w:after="120"/>
              <w:rPr>
                <w:sz w:val="18"/>
                <w:szCs w:val="18"/>
              </w:rPr>
            </w:pPr>
          </w:p>
        </w:tc>
      </w:tr>
      <w:tr w:rsidR="00CC5946" w:rsidTr="003519B3">
        <w:tc>
          <w:tcPr>
            <w:tcW w:w="2002" w:type="pct"/>
            <w:gridSpan w:val="3"/>
          </w:tcPr>
          <w:p w:rsidR="00CC5946" w:rsidRPr="00B91F0C" w:rsidRDefault="00CC5946" w:rsidP="00CC5946">
            <w:pPr>
              <w:spacing w:before="120"/>
              <w:rPr>
                <w:rFonts w:cs="Arial"/>
                <w:sz w:val="18"/>
                <w:szCs w:val="18"/>
              </w:rPr>
            </w:pPr>
          </w:p>
        </w:tc>
        <w:tc>
          <w:tcPr>
            <w:tcW w:w="671" w:type="pct"/>
          </w:tcPr>
          <w:p w:rsidR="00CC5946" w:rsidRPr="00CD4B0D" w:rsidRDefault="00CC5946" w:rsidP="00CC5946">
            <w:pPr>
              <w:spacing w:before="120" w:after="120"/>
              <w:rPr>
                <w:sz w:val="18"/>
                <w:szCs w:val="18"/>
              </w:rPr>
            </w:pPr>
          </w:p>
        </w:tc>
        <w:tc>
          <w:tcPr>
            <w:tcW w:w="1151" w:type="pct"/>
            <w:gridSpan w:val="2"/>
          </w:tcPr>
          <w:p w:rsidR="00CC5946" w:rsidRPr="00CD4B0D" w:rsidRDefault="00CC5946" w:rsidP="00CC5946">
            <w:pPr>
              <w:spacing w:before="120" w:after="120"/>
              <w:rPr>
                <w:sz w:val="18"/>
                <w:szCs w:val="18"/>
              </w:rPr>
            </w:pPr>
          </w:p>
        </w:tc>
        <w:tc>
          <w:tcPr>
            <w:tcW w:w="1176" w:type="pct"/>
          </w:tcPr>
          <w:p w:rsidR="00CC5946" w:rsidRPr="00CD4B0D" w:rsidRDefault="00CC5946" w:rsidP="00CC5946">
            <w:pPr>
              <w:spacing w:before="120" w:after="120"/>
              <w:rPr>
                <w:sz w:val="18"/>
                <w:szCs w:val="18"/>
              </w:rPr>
            </w:pPr>
          </w:p>
        </w:tc>
      </w:tr>
      <w:tr w:rsidR="000C3C45" w:rsidRPr="00CD4B0D" w:rsidTr="003519B3">
        <w:tc>
          <w:tcPr>
            <w:tcW w:w="1187" w:type="pct"/>
            <w:tcBorders>
              <w:top w:val="nil"/>
              <w:left w:val="nil"/>
              <w:bottom w:val="single" w:sz="4" w:space="0" w:color="auto"/>
              <w:right w:val="nil"/>
            </w:tcBorders>
          </w:tcPr>
          <w:p w:rsidR="000C3C45" w:rsidRPr="00D14C6D" w:rsidRDefault="000C3C45" w:rsidP="009B26B3">
            <w:pPr>
              <w:spacing w:before="120" w:after="120"/>
              <w:jc w:val="center"/>
              <w:rPr>
                <w:b/>
                <w:sz w:val="28"/>
                <w:szCs w:val="18"/>
              </w:rPr>
            </w:pPr>
          </w:p>
        </w:tc>
        <w:tc>
          <w:tcPr>
            <w:tcW w:w="623" w:type="pct"/>
            <w:tcBorders>
              <w:top w:val="nil"/>
              <w:left w:val="nil"/>
              <w:bottom w:val="single" w:sz="4" w:space="0" w:color="auto"/>
              <w:right w:val="nil"/>
            </w:tcBorders>
          </w:tcPr>
          <w:p w:rsidR="000C3C45" w:rsidRPr="00CD4B0D" w:rsidRDefault="000C3C45" w:rsidP="009B26B3">
            <w:pPr>
              <w:spacing w:before="120" w:after="120"/>
              <w:rPr>
                <w:sz w:val="18"/>
                <w:szCs w:val="18"/>
              </w:rPr>
            </w:pPr>
          </w:p>
        </w:tc>
        <w:tc>
          <w:tcPr>
            <w:tcW w:w="1774" w:type="pct"/>
            <w:gridSpan w:val="3"/>
            <w:tcBorders>
              <w:top w:val="nil"/>
              <w:left w:val="nil"/>
              <w:bottom w:val="single" w:sz="4" w:space="0" w:color="auto"/>
              <w:right w:val="nil"/>
            </w:tcBorders>
          </w:tcPr>
          <w:p w:rsidR="000C3C45" w:rsidRPr="00CD4B0D" w:rsidRDefault="000C3C45" w:rsidP="009B26B3">
            <w:pPr>
              <w:spacing w:before="120" w:after="120"/>
              <w:rPr>
                <w:sz w:val="18"/>
                <w:szCs w:val="18"/>
              </w:rPr>
            </w:pPr>
          </w:p>
        </w:tc>
        <w:tc>
          <w:tcPr>
            <w:tcW w:w="1416" w:type="pct"/>
            <w:gridSpan w:val="2"/>
            <w:tcBorders>
              <w:top w:val="nil"/>
              <w:left w:val="nil"/>
              <w:right w:val="nil"/>
            </w:tcBorders>
          </w:tcPr>
          <w:p w:rsidR="000C3C45" w:rsidRPr="00CD4B0D" w:rsidRDefault="000C3C45" w:rsidP="009B26B3">
            <w:pPr>
              <w:spacing w:before="120" w:after="120"/>
              <w:rPr>
                <w:sz w:val="18"/>
                <w:szCs w:val="18"/>
              </w:rPr>
            </w:pPr>
          </w:p>
        </w:tc>
      </w:tr>
      <w:tr w:rsidR="000C3C45" w:rsidRPr="00CD4B0D" w:rsidTr="003519B3">
        <w:tc>
          <w:tcPr>
            <w:tcW w:w="1187" w:type="pct"/>
            <w:tcBorders>
              <w:right w:val="nil"/>
            </w:tcBorders>
          </w:tcPr>
          <w:p w:rsidR="000C3C45" w:rsidRPr="003519B3" w:rsidRDefault="000C3C45" w:rsidP="003519B3">
            <w:pPr>
              <w:spacing w:before="120" w:after="120"/>
              <w:rPr>
                <w:rFonts w:cstheme="minorHAnsi"/>
                <w:color w:val="365F91" w:themeColor="accent1" w:themeShade="BF"/>
                <w:sz w:val="32"/>
                <w:szCs w:val="32"/>
              </w:rPr>
            </w:pPr>
            <w:r w:rsidRPr="003519B3">
              <w:rPr>
                <w:rFonts w:cstheme="minorHAnsi"/>
                <w:color w:val="365F91" w:themeColor="accent1" w:themeShade="BF"/>
                <w:sz w:val="32"/>
                <w:szCs w:val="32"/>
              </w:rPr>
              <w:t>THREATS</w:t>
            </w:r>
          </w:p>
        </w:tc>
        <w:tc>
          <w:tcPr>
            <w:tcW w:w="623" w:type="pct"/>
            <w:tcBorders>
              <w:left w:val="nil"/>
              <w:right w:val="nil"/>
            </w:tcBorders>
          </w:tcPr>
          <w:p w:rsidR="000C3C45" w:rsidRPr="00CD4B0D" w:rsidRDefault="000C3C45" w:rsidP="009B26B3">
            <w:pPr>
              <w:spacing w:before="120" w:after="120"/>
              <w:rPr>
                <w:sz w:val="18"/>
                <w:szCs w:val="18"/>
              </w:rPr>
            </w:pPr>
          </w:p>
        </w:tc>
        <w:tc>
          <w:tcPr>
            <w:tcW w:w="1774" w:type="pct"/>
            <w:gridSpan w:val="3"/>
            <w:tcBorders>
              <w:left w:val="nil"/>
              <w:right w:val="nil"/>
            </w:tcBorders>
          </w:tcPr>
          <w:p w:rsidR="000C3C45" w:rsidRPr="00CD4B0D" w:rsidRDefault="000C3C45" w:rsidP="003519B3">
            <w:pPr>
              <w:spacing w:before="120" w:after="120"/>
              <w:jc w:val="right"/>
              <w:rPr>
                <w:sz w:val="18"/>
                <w:szCs w:val="18"/>
              </w:rPr>
            </w:pPr>
          </w:p>
        </w:tc>
        <w:tc>
          <w:tcPr>
            <w:tcW w:w="1416" w:type="pct"/>
            <w:gridSpan w:val="2"/>
            <w:tcBorders>
              <w:left w:val="nil"/>
            </w:tcBorders>
          </w:tcPr>
          <w:p w:rsidR="000C3C45" w:rsidRPr="00CD4B0D" w:rsidRDefault="000C3C45" w:rsidP="009B26B3">
            <w:pPr>
              <w:spacing w:before="120" w:after="120"/>
              <w:rPr>
                <w:sz w:val="18"/>
                <w:szCs w:val="18"/>
              </w:rPr>
            </w:pPr>
          </w:p>
        </w:tc>
      </w:tr>
      <w:tr w:rsidR="000C3C45" w:rsidRPr="007734D9" w:rsidTr="003519B3">
        <w:tc>
          <w:tcPr>
            <w:tcW w:w="1187" w:type="pct"/>
          </w:tcPr>
          <w:p w:rsidR="000C3C45" w:rsidRPr="003519B3" w:rsidRDefault="000C3C45"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Project Team comments/suggestions</w:t>
            </w:r>
          </w:p>
        </w:tc>
        <w:tc>
          <w:tcPr>
            <w:tcW w:w="623" w:type="pct"/>
          </w:tcPr>
          <w:p w:rsidR="000C3C45" w:rsidRPr="003519B3" w:rsidRDefault="000C3C45"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UDL Review</w:t>
            </w:r>
          </w:p>
        </w:tc>
        <w:tc>
          <w:tcPr>
            <w:tcW w:w="1774" w:type="pct"/>
            <w:gridSpan w:val="3"/>
          </w:tcPr>
          <w:p w:rsidR="000C3C45" w:rsidRPr="003519B3" w:rsidRDefault="000C3C45"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HEA Guidelines</w:t>
            </w:r>
          </w:p>
        </w:tc>
        <w:tc>
          <w:tcPr>
            <w:tcW w:w="1416" w:type="pct"/>
            <w:gridSpan w:val="2"/>
          </w:tcPr>
          <w:p w:rsidR="000C3C45" w:rsidRPr="003519B3" w:rsidRDefault="000C3C45" w:rsidP="009B26B3">
            <w:pPr>
              <w:spacing w:before="120" w:after="120"/>
              <w:jc w:val="center"/>
              <w:rPr>
                <w:rFonts w:ascii="Calibri Light" w:hAnsi="Calibri Light" w:cstheme="majorBidi"/>
                <w:b/>
                <w:color w:val="243F60" w:themeColor="accent1" w:themeShade="7F"/>
                <w:sz w:val="24"/>
                <w:szCs w:val="24"/>
              </w:rPr>
            </w:pPr>
            <w:r w:rsidRPr="003519B3">
              <w:rPr>
                <w:rFonts w:ascii="Calibri Light" w:hAnsi="Calibri Light" w:cstheme="majorBidi"/>
                <w:b/>
                <w:color w:val="243F60" w:themeColor="accent1" w:themeShade="7F"/>
                <w:sz w:val="24"/>
                <w:szCs w:val="24"/>
              </w:rPr>
              <w:t>Unit Chair Response</w:t>
            </w:r>
          </w:p>
        </w:tc>
      </w:tr>
      <w:tr w:rsidR="000C3C45" w:rsidRPr="00CD4B0D" w:rsidTr="003519B3">
        <w:tc>
          <w:tcPr>
            <w:tcW w:w="1187" w:type="pct"/>
          </w:tcPr>
          <w:p w:rsidR="000C3C45" w:rsidRPr="003519B3" w:rsidRDefault="00702779" w:rsidP="00DC7204">
            <w:pPr>
              <w:rPr>
                <w:rFonts w:cs="Arial"/>
                <w:color w:val="000000" w:themeColor="text1"/>
                <w:sz w:val="18"/>
                <w:szCs w:val="18"/>
              </w:rPr>
            </w:pPr>
            <w:r>
              <w:rPr>
                <w:rFonts w:cs="Arial"/>
                <w:color w:val="000000" w:themeColor="text1"/>
                <w:sz w:val="18"/>
                <w:szCs w:val="18"/>
              </w:rPr>
              <w:t xml:space="preserve">Study and research skills, struggle with readings, literacy issues </w:t>
            </w:r>
          </w:p>
        </w:tc>
        <w:tc>
          <w:tcPr>
            <w:tcW w:w="623" w:type="pct"/>
          </w:tcPr>
          <w:p w:rsidR="000C3C45" w:rsidRPr="00AF3D67" w:rsidRDefault="000C3C45" w:rsidP="009B26B3">
            <w:pPr>
              <w:spacing w:before="120"/>
              <w:rPr>
                <w:rFonts w:cs="Arial"/>
                <w:sz w:val="18"/>
                <w:szCs w:val="18"/>
              </w:rPr>
            </w:pPr>
          </w:p>
        </w:tc>
        <w:tc>
          <w:tcPr>
            <w:tcW w:w="1774" w:type="pct"/>
            <w:gridSpan w:val="3"/>
          </w:tcPr>
          <w:p w:rsidR="000C3C45" w:rsidRPr="00CD4B0D" w:rsidRDefault="000C3C45" w:rsidP="000C3C45">
            <w:pPr>
              <w:spacing w:before="120" w:after="120"/>
              <w:rPr>
                <w:sz w:val="18"/>
                <w:szCs w:val="18"/>
              </w:rPr>
            </w:pPr>
          </w:p>
        </w:tc>
        <w:tc>
          <w:tcPr>
            <w:tcW w:w="1416" w:type="pct"/>
            <w:gridSpan w:val="2"/>
          </w:tcPr>
          <w:p w:rsidR="000C3C45" w:rsidRPr="00CD4B0D" w:rsidRDefault="00702779" w:rsidP="00B91F0C">
            <w:pPr>
              <w:spacing w:before="120" w:after="120"/>
              <w:rPr>
                <w:sz w:val="18"/>
                <w:szCs w:val="18"/>
              </w:rPr>
            </w:pPr>
            <w:r>
              <w:rPr>
                <w:sz w:val="18"/>
                <w:szCs w:val="18"/>
              </w:rPr>
              <w:t>Biggest concern is that students are lacking in research skills, literacy/English expression, and fail to undertake all or part of the readings.  This is across the board, irrespective of background. There seems to be a reticence on the part of students to engage at any level with the reading, despite being told that it required for seminar preparation.</w:t>
            </w:r>
          </w:p>
        </w:tc>
      </w:tr>
    </w:tbl>
    <w:p w:rsidR="00702779" w:rsidRDefault="00702779" w:rsidP="000A12E2">
      <w:pPr>
        <w:spacing w:after="60"/>
        <w:rPr>
          <w:b/>
          <w:sz w:val="24"/>
        </w:rPr>
      </w:pPr>
    </w:p>
    <w:p w:rsidR="005A0FB4" w:rsidRPr="003519B3" w:rsidRDefault="005A0FB4" w:rsidP="003519B3">
      <w:pPr>
        <w:pStyle w:val="Heading2"/>
        <w:rPr>
          <w:rFonts w:ascii="Calibri Light" w:hAnsi="Calibri Light" w:cstheme="minorHAnsi"/>
          <w:b/>
          <w:color w:val="auto"/>
        </w:rPr>
      </w:pPr>
      <w:r w:rsidRPr="003519B3">
        <w:rPr>
          <w:rFonts w:ascii="Calibri Light" w:hAnsi="Calibri Light" w:cstheme="minorHAnsi"/>
          <w:b/>
          <w:color w:val="auto"/>
        </w:rPr>
        <w:t>Overall Areas for Fu</w:t>
      </w:r>
      <w:bookmarkStart w:id="0" w:name="_GoBack"/>
      <w:bookmarkEnd w:id="0"/>
      <w:r w:rsidRPr="003519B3">
        <w:rPr>
          <w:rFonts w:ascii="Calibri Light" w:hAnsi="Calibri Light" w:cstheme="minorHAnsi"/>
          <w:b/>
          <w:color w:val="auto"/>
        </w:rPr>
        <w:t>rther Improvement</w:t>
      </w:r>
    </w:p>
    <w:p w:rsidR="005A0FB4" w:rsidRPr="000A12E2" w:rsidRDefault="000A12E2" w:rsidP="005A0FB4">
      <w:pPr>
        <w:pStyle w:val="ListParagraph"/>
        <w:numPr>
          <w:ilvl w:val="0"/>
          <w:numId w:val="3"/>
        </w:numPr>
        <w:rPr>
          <w:b/>
          <w:sz w:val="24"/>
        </w:rPr>
      </w:pPr>
      <w:r>
        <w:rPr>
          <w:sz w:val="24"/>
        </w:rPr>
        <w:t>Weekly unit goals/key concepts stated more clearly, aligning with Study Guide/Lectures/Tutorials, and working towards optimal consistency across campuses.</w:t>
      </w:r>
    </w:p>
    <w:p w:rsidR="000A12E2" w:rsidRPr="000A12E2" w:rsidRDefault="000A12E2" w:rsidP="005A0FB4">
      <w:pPr>
        <w:pStyle w:val="ListParagraph"/>
        <w:numPr>
          <w:ilvl w:val="0"/>
          <w:numId w:val="3"/>
        </w:numPr>
        <w:rPr>
          <w:b/>
          <w:sz w:val="24"/>
        </w:rPr>
      </w:pPr>
      <w:r>
        <w:rPr>
          <w:sz w:val="24"/>
        </w:rPr>
        <w:t>Provision of a Unit Glossary.</w:t>
      </w:r>
    </w:p>
    <w:p w:rsidR="000A12E2" w:rsidRPr="000A12E2" w:rsidRDefault="000A12E2" w:rsidP="005A0FB4">
      <w:pPr>
        <w:pStyle w:val="ListParagraph"/>
        <w:numPr>
          <w:ilvl w:val="0"/>
          <w:numId w:val="3"/>
        </w:numPr>
        <w:rPr>
          <w:b/>
          <w:sz w:val="24"/>
        </w:rPr>
      </w:pPr>
      <w:r>
        <w:rPr>
          <w:sz w:val="24"/>
        </w:rPr>
        <w:t>Inclusion of more multi-media content to optimise student engagement and interactivity.</w:t>
      </w:r>
    </w:p>
    <w:p w:rsidR="000A12E2" w:rsidRPr="000A12E2" w:rsidRDefault="000A12E2" w:rsidP="004F3C4B">
      <w:pPr>
        <w:pStyle w:val="ListParagraph"/>
        <w:numPr>
          <w:ilvl w:val="0"/>
          <w:numId w:val="3"/>
        </w:numPr>
        <w:rPr>
          <w:b/>
          <w:sz w:val="24"/>
        </w:rPr>
      </w:pPr>
      <w:r>
        <w:rPr>
          <w:sz w:val="24"/>
        </w:rPr>
        <w:t>Consider alternative assessment options that accommodates different learning styles</w:t>
      </w:r>
      <w:r w:rsidR="007D46B3">
        <w:rPr>
          <w:sz w:val="24"/>
        </w:rPr>
        <w:t xml:space="preserve"> and provides multiple ways to demonstrate knowledge.  Students can be provided a range of choices within one assessment i.e. video production, web-site design, traditional text-based report </w:t>
      </w:r>
      <w:proofErr w:type="spellStart"/>
      <w:r w:rsidR="007D46B3">
        <w:rPr>
          <w:sz w:val="24"/>
        </w:rPr>
        <w:t>etc</w:t>
      </w:r>
      <w:proofErr w:type="spellEnd"/>
      <w:r w:rsidR="004F3C4B">
        <w:rPr>
          <w:sz w:val="24"/>
        </w:rPr>
        <w:t xml:space="preserve"> </w:t>
      </w:r>
      <w:r w:rsidR="004F3C4B" w:rsidRPr="004F3C4B">
        <w:rPr>
          <w:b/>
          <w:sz w:val="24"/>
        </w:rPr>
        <w:t xml:space="preserve">For tips and inclusive strategies see </w:t>
      </w:r>
      <w:hyperlink r:id="rId9" w:history="1">
        <w:r w:rsidR="004F3C4B" w:rsidRPr="004F3C4B">
          <w:rPr>
            <w:rStyle w:val="Hyperlink"/>
            <w:b/>
            <w:sz w:val="24"/>
          </w:rPr>
          <w:t>http://www.washington.edu/doit/UDHE-promising-practices/PDF/ud_assessments.pdf</w:t>
        </w:r>
      </w:hyperlink>
      <w:r w:rsidR="004F3C4B">
        <w:rPr>
          <w:sz w:val="24"/>
        </w:rPr>
        <w:t xml:space="preserve"> </w:t>
      </w:r>
    </w:p>
    <w:p w:rsidR="000A12E2" w:rsidRPr="000A12E2" w:rsidRDefault="000A12E2" w:rsidP="000A12E2">
      <w:pPr>
        <w:pStyle w:val="ListParagraph"/>
        <w:numPr>
          <w:ilvl w:val="0"/>
          <w:numId w:val="3"/>
        </w:numPr>
        <w:rPr>
          <w:b/>
          <w:sz w:val="24"/>
        </w:rPr>
      </w:pPr>
      <w:r>
        <w:rPr>
          <w:sz w:val="24"/>
        </w:rPr>
        <w:t>Detailed rubrics for all assignments.</w:t>
      </w:r>
    </w:p>
    <w:p w:rsidR="000A12E2" w:rsidRPr="005A0FB4" w:rsidRDefault="000A12E2" w:rsidP="000A12E2">
      <w:pPr>
        <w:pStyle w:val="ListParagraph"/>
        <w:numPr>
          <w:ilvl w:val="0"/>
          <w:numId w:val="3"/>
        </w:numPr>
        <w:ind w:left="714" w:hanging="357"/>
        <w:contextualSpacing w:val="0"/>
        <w:rPr>
          <w:b/>
          <w:sz w:val="24"/>
        </w:rPr>
      </w:pPr>
      <w:r>
        <w:rPr>
          <w:sz w:val="24"/>
        </w:rPr>
        <w:t>Captioning/transcripts of recorded lecture material.</w:t>
      </w:r>
    </w:p>
    <w:p w:rsidR="00DC7204" w:rsidRPr="003519B3" w:rsidRDefault="00A64A80" w:rsidP="003519B3">
      <w:pPr>
        <w:pStyle w:val="Heading2"/>
        <w:rPr>
          <w:rFonts w:ascii="Calibri Light" w:hAnsi="Calibri Light"/>
          <w:b/>
          <w:color w:val="auto"/>
        </w:rPr>
      </w:pPr>
      <w:r w:rsidRPr="003519B3">
        <w:rPr>
          <w:rFonts w:ascii="Calibri Light" w:hAnsi="Calibri Light"/>
          <w:b/>
          <w:color w:val="auto"/>
        </w:rPr>
        <w:t xml:space="preserve">Further </w:t>
      </w:r>
      <w:r w:rsidR="00DC7204" w:rsidRPr="003519B3">
        <w:rPr>
          <w:rFonts w:ascii="Calibri Light" w:hAnsi="Calibri Light"/>
          <w:b/>
          <w:color w:val="auto"/>
        </w:rPr>
        <w:t>Suggestions</w:t>
      </w:r>
    </w:p>
    <w:p w:rsidR="00DC7204" w:rsidRPr="00045470" w:rsidRDefault="00DC7204" w:rsidP="00DC7204">
      <w:pPr>
        <w:pStyle w:val="ListParagraph"/>
        <w:numPr>
          <w:ilvl w:val="0"/>
          <w:numId w:val="2"/>
        </w:numPr>
        <w:spacing w:after="0"/>
        <w:rPr>
          <w:sz w:val="24"/>
        </w:rPr>
      </w:pPr>
      <w:r>
        <w:rPr>
          <w:sz w:val="24"/>
        </w:rPr>
        <w:t>Develop a video with a student</w:t>
      </w:r>
      <w:r w:rsidRPr="00264216">
        <w:rPr>
          <w:sz w:val="24"/>
        </w:rPr>
        <w:t xml:space="preserve"> in which </w:t>
      </w:r>
      <w:r>
        <w:rPr>
          <w:sz w:val="24"/>
        </w:rPr>
        <w:t xml:space="preserve">they share how they </w:t>
      </w:r>
      <w:r w:rsidRPr="00264216">
        <w:rPr>
          <w:sz w:val="24"/>
        </w:rPr>
        <w:t xml:space="preserve">improved in </w:t>
      </w:r>
      <w:r>
        <w:rPr>
          <w:sz w:val="24"/>
        </w:rPr>
        <w:t>sociology</w:t>
      </w:r>
      <w:r w:rsidRPr="00264216">
        <w:rPr>
          <w:sz w:val="24"/>
        </w:rPr>
        <w:t xml:space="preserve"> </w:t>
      </w:r>
      <w:r>
        <w:rPr>
          <w:sz w:val="24"/>
        </w:rPr>
        <w:t>to achieve higher grades</w:t>
      </w:r>
      <w:r w:rsidR="00B648F4">
        <w:rPr>
          <w:sz w:val="24"/>
        </w:rPr>
        <w:t xml:space="preserve"> or negotiated transitional difficulties</w:t>
      </w:r>
      <w:r w:rsidR="00A64A80">
        <w:rPr>
          <w:sz w:val="24"/>
        </w:rPr>
        <w:t xml:space="preserve"> (</w:t>
      </w:r>
      <w:proofErr w:type="spellStart"/>
      <w:r w:rsidR="00A64A80">
        <w:rPr>
          <w:sz w:val="24"/>
        </w:rPr>
        <w:t>TeachAssist</w:t>
      </w:r>
      <w:proofErr w:type="spellEnd"/>
      <w:r w:rsidR="00A64A80">
        <w:rPr>
          <w:sz w:val="24"/>
        </w:rPr>
        <w:t xml:space="preserve"> can help)</w:t>
      </w:r>
    </w:p>
    <w:p w:rsidR="00DC7204" w:rsidRPr="00045470" w:rsidRDefault="00DC7204" w:rsidP="00DC7204">
      <w:pPr>
        <w:pStyle w:val="ListParagraph"/>
        <w:numPr>
          <w:ilvl w:val="0"/>
          <w:numId w:val="2"/>
        </w:numPr>
        <w:spacing w:after="0"/>
        <w:rPr>
          <w:sz w:val="24"/>
        </w:rPr>
      </w:pPr>
      <w:r w:rsidRPr="00264216">
        <w:rPr>
          <w:sz w:val="24"/>
        </w:rPr>
        <w:t xml:space="preserve">Develop a resource that helps students read </w:t>
      </w:r>
      <w:r w:rsidR="00A64A80">
        <w:rPr>
          <w:sz w:val="24"/>
        </w:rPr>
        <w:t xml:space="preserve">and note-take from </w:t>
      </w:r>
      <w:r w:rsidRPr="00264216">
        <w:rPr>
          <w:sz w:val="24"/>
        </w:rPr>
        <w:t xml:space="preserve">a </w:t>
      </w:r>
      <w:r w:rsidR="00B648F4">
        <w:rPr>
          <w:sz w:val="24"/>
        </w:rPr>
        <w:t xml:space="preserve">sociology </w:t>
      </w:r>
      <w:r w:rsidRPr="00264216">
        <w:rPr>
          <w:sz w:val="24"/>
        </w:rPr>
        <w:t xml:space="preserve">journal article. </w:t>
      </w:r>
      <w:r>
        <w:rPr>
          <w:sz w:val="24"/>
        </w:rPr>
        <w:t xml:space="preserve"> </w:t>
      </w:r>
      <w:r w:rsidRPr="00264216">
        <w:rPr>
          <w:sz w:val="24"/>
        </w:rPr>
        <w:t xml:space="preserve">Possibly </w:t>
      </w:r>
      <w:r>
        <w:rPr>
          <w:sz w:val="24"/>
        </w:rPr>
        <w:t xml:space="preserve">a </w:t>
      </w:r>
      <w:r w:rsidRPr="00264216">
        <w:rPr>
          <w:sz w:val="24"/>
        </w:rPr>
        <w:t>video and transcript.</w:t>
      </w:r>
      <w:r>
        <w:rPr>
          <w:sz w:val="24"/>
        </w:rPr>
        <w:t xml:space="preserve">  </w:t>
      </w:r>
      <w:r w:rsidRPr="00264216">
        <w:rPr>
          <w:sz w:val="24"/>
        </w:rPr>
        <w:t>Follow-up with self-assessm</w:t>
      </w:r>
      <w:r>
        <w:rPr>
          <w:sz w:val="24"/>
        </w:rPr>
        <w:t xml:space="preserve">ent component. </w:t>
      </w:r>
      <w:proofErr w:type="gramStart"/>
      <w:r>
        <w:rPr>
          <w:sz w:val="24"/>
        </w:rPr>
        <w:t>e</w:t>
      </w:r>
      <w:r w:rsidRPr="00264216">
        <w:rPr>
          <w:sz w:val="24"/>
        </w:rPr>
        <w:t>.g</w:t>
      </w:r>
      <w:proofErr w:type="gramEnd"/>
      <w:r w:rsidRPr="00264216">
        <w:rPr>
          <w:sz w:val="24"/>
        </w:rPr>
        <w:t>. reading through a similar journal article.</w:t>
      </w:r>
    </w:p>
    <w:p w:rsidR="00DC7204" w:rsidRDefault="00DC7204" w:rsidP="00DC7204">
      <w:pPr>
        <w:pStyle w:val="ListParagraph"/>
        <w:numPr>
          <w:ilvl w:val="0"/>
          <w:numId w:val="2"/>
        </w:numPr>
        <w:spacing w:after="0"/>
        <w:rPr>
          <w:sz w:val="24"/>
        </w:rPr>
      </w:pPr>
      <w:r w:rsidRPr="00264216">
        <w:rPr>
          <w:sz w:val="24"/>
        </w:rPr>
        <w:t xml:space="preserve">Develop </w:t>
      </w:r>
      <w:r>
        <w:rPr>
          <w:sz w:val="24"/>
        </w:rPr>
        <w:t xml:space="preserve">a </w:t>
      </w:r>
      <w:r w:rsidRPr="00264216">
        <w:rPr>
          <w:sz w:val="24"/>
        </w:rPr>
        <w:t xml:space="preserve">plagiarism and referencing quiz as part of unit. </w:t>
      </w:r>
      <w:r>
        <w:rPr>
          <w:sz w:val="24"/>
        </w:rPr>
        <w:t xml:space="preserve"> </w:t>
      </w:r>
      <w:r w:rsidRPr="00264216">
        <w:rPr>
          <w:sz w:val="24"/>
        </w:rPr>
        <w:t xml:space="preserve">Set this up so that students are required to complete this before accessing their drop box and submitting assignment. </w:t>
      </w:r>
    </w:p>
    <w:p w:rsidR="00045470" w:rsidRPr="00264216" w:rsidRDefault="00045470" w:rsidP="00DC7204">
      <w:pPr>
        <w:pStyle w:val="ListParagraph"/>
        <w:numPr>
          <w:ilvl w:val="0"/>
          <w:numId w:val="2"/>
        </w:numPr>
        <w:spacing w:after="0"/>
        <w:rPr>
          <w:sz w:val="24"/>
        </w:rPr>
      </w:pPr>
      <w:r>
        <w:rPr>
          <w:sz w:val="24"/>
        </w:rPr>
        <w:t>Provide a space for students to self-assess or reflect on their assignments before submitting.</w:t>
      </w:r>
    </w:p>
    <w:p w:rsidR="00DC7204" w:rsidRPr="00264216" w:rsidRDefault="00DC7204" w:rsidP="00DC7204">
      <w:pPr>
        <w:rPr>
          <w:sz w:val="24"/>
        </w:rPr>
      </w:pPr>
    </w:p>
    <w:p w:rsidR="00237AD1" w:rsidRDefault="00237AD1"/>
    <w:sectPr w:rsidR="00237AD1" w:rsidSect="00017015">
      <w:head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71" w:rsidRDefault="00585271" w:rsidP="007734D9">
      <w:pPr>
        <w:spacing w:after="0"/>
      </w:pPr>
      <w:r>
        <w:separator/>
      </w:r>
    </w:p>
  </w:endnote>
  <w:endnote w:type="continuationSeparator" w:id="0">
    <w:p w:rsidR="00585271" w:rsidRDefault="00585271" w:rsidP="00773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71" w:rsidRDefault="00585271" w:rsidP="007734D9">
      <w:pPr>
        <w:spacing w:after="0"/>
      </w:pPr>
      <w:r>
        <w:separator/>
      </w:r>
    </w:p>
  </w:footnote>
  <w:footnote w:type="continuationSeparator" w:id="0">
    <w:p w:rsidR="00585271" w:rsidRDefault="00585271" w:rsidP="007734D9">
      <w:pPr>
        <w:spacing w:after="0"/>
      </w:pPr>
      <w:r>
        <w:continuationSeparator/>
      </w:r>
    </w:p>
  </w:footnote>
  <w:footnote w:id="1">
    <w:p w:rsidR="00DF286A" w:rsidRDefault="00DF286A" w:rsidP="005A0FB4">
      <w:pPr>
        <w:pStyle w:val="FootnoteText"/>
      </w:pPr>
      <w:r>
        <w:rPr>
          <w:rStyle w:val="FootnoteReference"/>
        </w:rPr>
        <w:footnoteRef/>
      </w:r>
      <w:r>
        <w:t xml:space="preserve"> </w:t>
      </w:r>
      <w:r w:rsidRPr="002C20A4">
        <w:rPr>
          <w:sz w:val="14"/>
        </w:rPr>
        <w:t>Annotations are drawn from Higher Education Academy (HEA) Inclusive Curriculum Design for Higher Education Literature https://www.heacademy.ac.uk/resources/detail/inclusion/Disability/Inclusive_curriculum_design_in_higher_education: see Introduction and Overview (Morgan &amp; Houghton 2011), Generic Conside</w:t>
      </w:r>
      <w:r>
        <w:rPr>
          <w:sz w:val="14"/>
        </w:rPr>
        <w:t xml:space="preserve">rations and Subject Guides for </w:t>
      </w:r>
      <w:r w:rsidRPr="002C20A4">
        <w:rPr>
          <w:sz w:val="14"/>
        </w:rPr>
        <w:t>Sociology, Anthropology and Politics.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D9" w:rsidRDefault="007734D9">
    <w:pPr>
      <w:pStyle w:val="Header"/>
    </w:pPr>
    <w:r>
      <w:t>Inclusive Curriculum Project Evaluation SWOT Analysis</w:t>
    </w:r>
    <w:r w:rsidR="003C41C3">
      <w:t>, 2014</w:t>
    </w:r>
  </w:p>
  <w:p w:rsidR="003C41C3" w:rsidRDefault="003C41C3">
    <w:pPr>
      <w:pStyle w:val="Header"/>
    </w:pPr>
    <w:r>
      <w:t>Dr Petra Brown and Dr Janet Watson, Faculty of Arts and Education</w:t>
    </w:r>
  </w:p>
  <w:p w:rsidR="007734D9" w:rsidRDefault="00773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467E2"/>
    <w:multiLevelType w:val="hybridMultilevel"/>
    <w:tmpl w:val="3932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01A0"/>
    <w:multiLevelType w:val="hybridMultilevel"/>
    <w:tmpl w:val="038C7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467015"/>
    <w:multiLevelType w:val="hybridMultilevel"/>
    <w:tmpl w:val="095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displayHorizontalDrawingGridEvery w:val="2"/>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D9"/>
    <w:rsid w:val="00017015"/>
    <w:rsid w:val="00024B35"/>
    <w:rsid w:val="00045470"/>
    <w:rsid w:val="000A12E2"/>
    <w:rsid w:val="000B03BB"/>
    <w:rsid w:val="000C3C45"/>
    <w:rsid w:val="0010634E"/>
    <w:rsid w:val="00151313"/>
    <w:rsid w:val="00162F82"/>
    <w:rsid w:val="00181BE3"/>
    <w:rsid w:val="00237AD1"/>
    <w:rsid w:val="0027400C"/>
    <w:rsid w:val="002A60D8"/>
    <w:rsid w:val="002B5812"/>
    <w:rsid w:val="002C20A4"/>
    <w:rsid w:val="002C5399"/>
    <w:rsid w:val="002D0636"/>
    <w:rsid w:val="002E278C"/>
    <w:rsid w:val="003519B3"/>
    <w:rsid w:val="0037259A"/>
    <w:rsid w:val="003C41C3"/>
    <w:rsid w:val="00437A17"/>
    <w:rsid w:val="00497815"/>
    <w:rsid w:val="004E20AF"/>
    <w:rsid w:val="004F3C4B"/>
    <w:rsid w:val="005355DB"/>
    <w:rsid w:val="00581156"/>
    <w:rsid w:val="00585271"/>
    <w:rsid w:val="00586402"/>
    <w:rsid w:val="005A0FB4"/>
    <w:rsid w:val="0060044E"/>
    <w:rsid w:val="006026ED"/>
    <w:rsid w:val="00617DF4"/>
    <w:rsid w:val="00662570"/>
    <w:rsid w:val="00682289"/>
    <w:rsid w:val="00693A1B"/>
    <w:rsid w:val="00697D53"/>
    <w:rsid w:val="006C0B34"/>
    <w:rsid w:val="00702779"/>
    <w:rsid w:val="007734D9"/>
    <w:rsid w:val="0079679B"/>
    <w:rsid w:val="007A0205"/>
    <w:rsid w:val="007D153F"/>
    <w:rsid w:val="007D46B3"/>
    <w:rsid w:val="00814FA1"/>
    <w:rsid w:val="00850428"/>
    <w:rsid w:val="00871A5C"/>
    <w:rsid w:val="0089420F"/>
    <w:rsid w:val="009045C8"/>
    <w:rsid w:val="00912129"/>
    <w:rsid w:val="009A553F"/>
    <w:rsid w:val="00A0413E"/>
    <w:rsid w:val="00A42926"/>
    <w:rsid w:val="00A64A80"/>
    <w:rsid w:val="00A67BD6"/>
    <w:rsid w:val="00A9695E"/>
    <w:rsid w:val="00A972FA"/>
    <w:rsid w:val="00AF3D67"/>
    <w:rsid w:val="00B648F4"/>
    <w:rsid w:val="00B67A36"/>
    <w:rsid w:val="00B91F0C"/>
    <w:rsid w:val="00BA6737"/>
    <w:rsid w:val="00BE6D7A"/>
    <w:rsid w:val="00BF427A"/>
    <w:rsid w:val="00C02627"/>
    <w:rsid w:val="00C56992"/>
    <w:rsid w:val="00CB7F47"/>
    <w:rsid w:val="00CC5946"/>
    <w:rsid w:val="00CD4B0D"/>
    <w:rsid w:val="00D00F9A"/>
    <w:rsid w:val="00D14C6D"/>
    <w:rsid w:val="00D542AF"/>
    <w:rsid w:val="00D83EF0"/>
    <w:rsid w:val="00D93919"/>
    <w:rsid w:val="00DC7204"/>
    <w:rsid w:val="00DF286A"/>
    <w:rsid w:val="00EB3ECF"/>
    <w:rsid w:val="00EB7705"/>
    <w:rsid w:val="00F07689"/>
    <w:rsid w:val="00F46F86"/>
    <w:rsid w:val="00F644C1"/>
    <w:rsid w:val="00FA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FD9E7-2F3B-4842-BC2B-E211175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D1"/>
  </w:style>
  <w:style w:type="paragraph" w:styleId="Heading1">
    <w:name w:val="heading 1"/>
    <w:basedOn w:val="Normal"/>
    <w:next w:val="Normal"/>
    <w:link w:val="Heading1Char"/>
    <w:uiPriority w:val="9"/>
    <w:qFormat/>
    <w:rsid w:val="003519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19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1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4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4D9"/>
    <w:pPr>
      <w:tabs>
        <w:tab w:val="center" w:pos="4513"/>
        <w:tab w:val="right" w:pos="9026"/>
      </w:tabs>
      <w:spacing w:after="0"/>
    </w:pPr>
  </w:style>
  <w:style w:type="character" w:customStyle="1" w:styleId="HeaderChar">
    <w:name w:val="Header Char"/>
    <w:basedOn w:val="DefaultParagraphFont"/>
    <w:link w:val="Header"/>
    <w:uiPriority w:val="99"/>
    <w:rsid w:val="007734D9"/>
  </w:style>
  <w:style w:type="paragraph" w:styleId="Footer">
    <w:name w:val="footer"/>
    <w:basedOn w:val="Normal"/>
    <w:link w:val="FooterChar"/>
    <w:uiPriority w:val="99"/>
    <w:semiHidden/>
    <w:unhideWhenUsed/>
    <w:rsid w:val="007734D9"/>
    <w:pPr>
      <w:tabs>
        <w:tab w:val="center" w:pos="4513"/>
        <w:tab w:val="right" w:pos="9026"/>
      </w:tabs>
      <w:spacing w:after="0"/>
    </w:pPr>
  </w:style>
  <w:style w:type="character" w:customStyle="1" w:styleId="FooterChar">
    <w:name w:val="Footer Char"/>
    <w:basedOn w:val="DefaultParagraphFont"/>
    <w:link w:val="Footer"/>
    <w:uiPriority w:val="99"/>
    <w:semiHidden/>
    <w:rsid w:val="007734D9"/>
  </w:style>
  <w:style w:type="paragraph" w:styleId="BalloonText">
    <w:name w:val="Balloon Text"/>
    <w:basedOn w:val="Normal"/>
    <w:link w:val="BalloonTextChar"/>
    <w:uiPriority w:val="99"/>
    <w:semiHidden/>
    <w:unhideWhenUsed/>
    <w:rsid w:val="007734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D9"/>
    <w:rPr>
      <w:rFonts w:ascii="Tahoma" w:hAnsi="Tahoma" w:cs="Tahoma"/>
      <w:sz w:val="16"/>
      <w:szCs w:val="16"/>
    </w:rPr>
  </w:style>
  <w:style w:type="paragraph" w:styleId="ListParagraph">
    <w:name w:val="List Paragraph"/>
    <w:basedOn w:val="Normal"/>
    <w:uiPriority w:val="34"/>
    <w:qFormat/>
    <w:rsid w:val="00CB7F47"/>
    <w:pPr>
      <w:ind w:left="720"/>
      <w:contextualSpacing/>
    </w:pPr>
  </w:style>
  <w:style w:type="character" w:styleId="Hyperlink">
    <w:name w:val="Hyperlink"/>
    <w:basedOn w:val="DefaultParagraphFont"/>
    <w:uiPriority w:val="99"/>
    <w:unhideWhenUsed/>
    <w:rsid w:val="00EB3ECF"/>
    <w:rPr>
      <w:color w:val="0000FF" w:themeColor="hyperlink"/>
      <w:u w:val="single"/>
    </w:rPr>
  </w:style>
  <w:style w:type="character" w:styleId="FollowedHyperlink">
    <w:name w:val="FollowedHyperlink"/>
    <w:basedOn w:val="DefaultParagraphFont"/>
    <w:uiPriority w:val="99"/>
    <w:semiHidden/>
    <w:unhideWhenUsed/>
    <w:rsid w:val="00581156"/>
    <w:rPr>
      <w:color w:val="800080" w:themeColor="followedHyperlink"/>
      <w:u w:val="single"/>
    </w:rPr>
  </w:style>
  <w:style w:type="paragraph" w:customStyle="1" w:styleId="well">
    <w:name w:val="well"/>
    <w:basedOn w:val="Normal"/>
    <w:rsid w:val="00497815"/>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2C20A4"/>
    <w:pPr>
      <w:spacing w:after="0"/>
    </w:pPr>
    <w:rPr>
      <w:sz w:val="20"/>
      <w:szCs w:val="20"/>
    </w:rPr>
  </w:style>
  <w:style w:type="character" w:customStyle="1" w:styleId="FootnoteTextChar">
    <w:name w:val="Footnote Text Char"/>
    <w:basedOn w:val="DefaultParagraphFont"/>
    <w:link w:val="FootnoteText"/>
    <w:uiPriority w:val="99"/>
    <w:semiHidden/>
    <w:rsid w:val="002C20A4"/>
    <w:rPr>
      <w:sz w:val="20"/>
      <w:szCs w:val="20"/>
    </w:rPr>
  </w:style>
  <w:style w:type="character" w:styleId="FootnoteReference">
    <w:name w:val="footnote reference"/>
    <w:basedOn w:val="DefaultParagraphFont"/>
    <w:uiPriority w:val="99"/>
    <w:semiHidden/>
    <w:unhideWhenUsed/>
    <w:rsid w:val="002C20A4"/>
    <w:rPr>
      <w:vertAlign w:val="superscript"/>
    </w:rPr>
  </w:style>
  <w:style w:type="character" w:customStyle="1" w:styleId="Heading2Char">
    <w:name w:val="Heading 2 Char"/>
    <w:basedOn w:val="DefaultParagraphFont"/>
    <w:link w:val="Heading2"/>
    <w:uiPriority w:val="9"/>
    <w:rsid w:val="003519B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519B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519B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931111">
      <w:bodyDiv w:val="1"/>
      <w:marLeft w:val="0"/>
      <w:marRight w:val="0"/>
      <w:marTop w:val="0"/>
      <w:marBottom w:val="0"/>
      <w:divBdr>
        <w:top w:val="none" w:sz="0" w:space="0" w:color="auto"/>
        <w:left w:val="none" w:sz="0" w:space="0" w:color="auto"/>
        <w:bottom w:val="none" w:sz="0" w:space="0" w:color="auto"/>
        <w:right w:val="none" w:sz="0" w:space="0" w:color="auto"/>
      </w:divBdr>
    </w:div>
    <w:div w:id="13427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cofa.unsw.edu.au/learning-to-teach-online/ltto-episodes?view=video&amp;video=2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shington.edu/doit/UDHE-promising-practices/PDF/ud_assess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56845-790A-473F-8CB7-CC533FC4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cp:lastPrinted>2014-11-25T22:44:00Z</cp:lastPrinted>
  <dcterms:created xsi:type="dcterms:W3CDTF">2017-05-22T23:36:00Z</dcterms:created>
  <dcterms:modified xsi:type="dcterms:W3CDTF">2017-09-25T23:59:00Z</dcterms:modified>
</cp:coreProperties>
</file>